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2"/>
          <w:szCs w:val="32"/>
        </w:rPr>
      </w:pPr>
      <w:r>
        <w:rPr>
          <w:rFonts w:hint="eastAsia"/>
          <w:b/>
          <w:sz w:val="32"/>
          <w:szCs w:val="32"/>
        </w:rPr>
        <w:t>广药白云山化学制药（珠海）有限公司建设项目</w:t>
      </w:r>
    </w:p>
    <w:p>
      <w:pPr>
        <w:spacing w:line="360" w:lineRule="auto"/>
        <w:jc w:val="center"/>
        <w:rPr>
          <w:b/>
          <w:sz w:val="32"/>
          <w:szCs w:val="32"/>
        </w:rPr>
      </w:pPr>
      <w:r>
        <w:rPr>
          <w:rFonts w:hint="eastAsia"/>
          <w:b/>
          <w:sz w:val="32"/>
          <w:szCs w:val="32"/>
        </w:rPr>
        <w:t>全过程造价咨询审核服务</w:t>
      </w:r>
    </w:p>
    <w:p>
      <w:pPr>
        <w:spacing w:line="360" w:lineRule="auto"/>
        <w:jc w:val="center"/>
        <w:rPr>
          <w:b/>
          <w:sz w:val="32"/>
          <w:szCs w:val="32"/>
        </w:rPr>
      </w:pPr>
      <w:r>
        <w:rPr>
          <w:rFonts w:hint="eastAsia"/>
          <w:b/>
          <w:sz w:val="32"/>
          <w:szCs w:val="32"/>
        </w:rPr>
        <w:t>新增设备/工程/服务URS（用户需求标准）</w:t>
      </w:r>
    </w:p>
    <w:p>
      <w:pPr>
        <w:widowControl/>
        <w:spacing w:line="360" w:lineRule="auto"/>
        <w:jc w:val="left"/>
        <w:rPr>
          <w:rFonts w:ascii="宋体" w:hAnsi="宋体"/>
          <w:kern w:val="0"/>
          <w:sz w:val="24"/>
        </w:rPr>
      </w:pPr>
      <w:r>
        <w:rPr>
          <w:rFonts w:hint="eastAsia" w:ascii="宋体" w:hAnsi="宋体"/>
          <w:kern w:val="0"/>
          <w:sz w:val="24"/>
        </w:rPr>
        <w:t>项 目 名 称：</w:t>
      </w:r>
      <w:r>
        <w:rPr>
          <w:rFonts w:hint="eastAsia"/>
          <w:kern w:val="0"/>
          <w:sz w:val="24"/>
        </w:rPr>
        <w:t>广药白云山化学制药（珠海）有限公司建设项目全过程造价咨询审核服务</w:t>
      </w:r>
    </w:p>
    <w:p>
      <w:pPr>
        <w:widowControl/>
        <w:spacing w:line="360" w:lineRule="auto"/>
        <w:jc w:val="left"/>
        <w:rPr>
          <w:rFonts w:ascii="宋体" w:hAnsi="宋体"/>
          <w:kern w:val="0"/>
          <w:sz w:val="24"/>
        </w:rPr>
      </w:pPr>
      <w:r>
        <w:rPr>
          <w:rFonts w:hint="eastAsia" w:ascii="宋体" w:hAnsi="宋体"/>
          <w:kern w:val="0"/>
          <w:sz w:val="24"/>
        </w:rPr>
        <w:t>设备/工程/服务名称：工程全过程造价咨询审核服务</w:t>
      </w:r>
    </w:p>
    <w:p>
      <w:pPr>
        <w:widowControl/>
        <w:spacing w:line="360" w:lineRule="auto"/>
        <w:jc w:val="left"/>
        <w:rPr>
          <w:rFonts w:ascii="宋体" w:hAnsi="宋体"/>
          <w:kern w:val="0"/>
          <w:sz w:val="24"/>
        </w:rPr>
      </w:pPr>
      <w:r>
        <w:rPr>
          <w:rFonts w:hint="eastAsia" w:ascii="宋体" w:hAnsi="宋体"/>
          <w:kern w:val="0"/>
          <w:sz w:val="24"/>
        </w:rPr>
        <w:t>需求内容：</w:t>
      </w:r>
    </w:p>
    <w:p>
      <w:pPr>
        <w:widowControl/>
        <w:spacing w:line="360" w:lineRule="auto"/>
        <w:jc w:val="left"/>
        <w:rPr>
          <w:rFonts w:ascii="宋体" w:hAnsi="宋体"/>
          <w:b/>
          <w:kern w:val="0"/>
          <w:sz w:val="28"/>
          <w:szCs w:val="28"/>
        </w:rPr>
      </w:pPr>
      <w:r>
        <w:rPr>
          <w:rFonts w:ascii="宋体" w:hAnsi="宋体"/>
          <w:b/>
          <w:kern w:val="0"/>
          <w:sz w:val="28"/>
          <w:szCs w:val="28"/>
        </w:rPr>
        <w:t>一、概述</w:t>
      </w:r>
    </w:p>
    <w:p>
      <w:pPr>
        <w:widowControl/>
        <w:tabs>
          <w:tab w:val="left" w:pos="824"/>
        </w:tabs>
        <w:snapToGrid w:val="0"/>
        <w:spacing w:line="360" w:lineRule="auto"/>
        <w:ind w:left="600" w:hanging="600" w:hangingChars="250"/>
        <w:jc w:val="left"/>
        <w:rPr>
          <w:rFonts w:ascii="宋体" w:hAnsi="宋体"/>
          <w:kern w:val="0"/>
          <w:sz w:val="24"/>
        </w:rPr>
      </w:pPr>
      <w:r>
        <w:rPr>
          <w:rFonts w:ascii="宋体" w:hAnsi="宋体"/>
          <w:kern w:val="0"/>
          <w:sz w:val="24"/>
        </w:rPr>
        <w:t>1.1  项目名称：</w:t>
      </w:r>
      <w:bookmarkStart w:id="0" w:name="_Hlk4888256"/>
      <w:r>
        <w:rPr>
          <w:rFonts w:hint="eastAsia"/>
          <w:kern w:val="0"/>
          <w:sz w:val="24"/>
        </w:rPr>
        <w:t>广药白云山化学制药（珠海）有限公司建设项目全过程</w:t>
      </w:r>
      <w:bookmarkEnd w:id="0"/>
      <w:r>
        <w:rPr>
          <w:rFonts w:hint="eastAsia"/>
          <w:kern w:val="0"/>
          <w:sz w:val="24"/>
        </w:rPr>
        <w:t>造价咨询审核服务</w:t>
      </w:r>
    </w:p>
    <w:p>
      <w:pPr>
        <w:widowControl/>
        <w:tabs>
          <w:tab w:val="left" w:pos="824"/>
        </w:tabs>
        <w:snapToGrid w:val="0"/>
        <w:spacing w:line="360" w:lineRule="auto"/>
        <w:jc w:val="left"/>
        <w:rPr>
          <w:rFonts w:ascii="宋体" w:hAnsi="宋体"/>
          <w:kern w:val="0"/>
          <w:sz w:val="24"/>
        </w:rPr>
      </w:pPr>
      <w:r>
        <w:rPr>
          <w:rFonts w:ascii="宋体" w:hAnsi="宋体"/>
          <w:kern w:val="0"/>
          <w:sz w:val="24"/>
        </w:rPr>
        <w:t xml:space="preserve">1.2  </w:t>
      </w:r>
      <w:r>
        <w:rPr>
          <w:rFonts w:hint="eastAsia" w:ascii="宋体" w:hAnsi="宋体"/>
          <w:kern w:val="0"/>
          <w:sz w:val="24"/>
        </w:rPr>
        <w:t>建设</w:t>
      </w:r>
      <w:r>
        <w:rPr>
          <w:rFonts w:ascii="宋体" w:hAnsi="宋体"/>
          <w:kern w:val="0"/>
          <w:sz w:val="24"/>
        </w:rPr>
        <w:t>地点：</w:t>
      </w:r>
      <w:r>
        <w:rPr>
          <w:rFonts w:hint="eastAsia" w:ascii="宋体" w:hAnsi="宋体"/>
          <w:kern w:val="0"/>
          <w:sz w:val="24"/>
        </w:rPr>
        <w:t>珠海市斗门区富山工业园内</w:t>
      </w:r>
    </w:p>
    <w:p>
      <w:pPr>
        <w:widowControl/>
        <w:tabs>
          <w:tab w:val="left" w:pos="824"/>
        </w:tabs>
        <w:snapToGrid w:val="0"/>
        <w:spacing w:line="360" w:lineRule="auto"/>
        <w:jc w:val="left"/>
        <w:rPr>
          <w:rFonts w:ascii="宋体" w:hAnsi="宋体"/>
          <w:kern w:val="0"/>
          <w:sz w:val="24"/>
        </w:rPr>
      </w:pPr>
      <w:r>
        <w:rPr>
          <w:rFonts w:ascii="宋体" w:hAnsi="宋体"/>
          <w:kern w:val="0"/>
          <w:sz w:val="24"/>
        </w:rPr>
        <w:t>1.3  可研编制单位</w:t>
      </w:r>
      <w:r>
        <w:rPr>
          <w:rFonts w:hint="eastAsia" w:ascii="宋体" w:hAnsi="宋体"/>
          <w:kern w:val="0"/>
          <w:sz w:val="24"/>
        </w:rPr>
        <w:t>：中国医药集团联合工程有限公司</w:t>
      </w:r>
    </w:p>
    <w:p>
      <w:pPr>
        <w:widowControl/>
        <w:tabs>
          <w:tab w:val="left" w:pos="824"/>
        </w:tabs>
        <w:snapToGrid w:val="0"/>
        <w:spacing w:line="360" w:lineRule="auto"/>
        <w:jc w:val="left"/>
        <w:rPr>
          <w:rFonts w:ascii="宋体" w:hAnsi="宋体"/>
          <w:kern w:val="0"/>
          <w:sz w:val="24"/>
        </w:rPr>
      </w:pPr>
      <w:r>
        <w:rPr>
          <w:rFonts w:ascii="宋体" w:hAnsi="宋体"/>
          <w:kern w:val="0"/>
          <w:sz w:val="24"/>
        </w:rPr>
        <w:t>1.</w:t>
      </w:r>
      <w:r>
        <w:rPr>
          <w:rFonts w:hint="eastAsia" w:ascii="宋体" w:hAnsi="宋体"/>
          <w:kern w:val="0"/>
          <w:sz w:val="24"/>
        </w:rPr>
        <w:t>4</w:t>
      </w:r>
      <w:r>
        <w:rPr>
          <w:rFonts w:ascii="宋体" w:hAnsi="宋体"/>
          <w:kern w:val="0"/>
          <w:sz w:val="24"/>
        </w:rPr>
        <w:t xml:space="preserve">  设计单位：</w:t>
      </w:r>
      <w:r>
        <w:rPr>
          <w:rFonts w:hint="eastAsia" w:ascii="宋体" w:hAnsi="宋体"/>
          <w:kern w:val="0"/>
          <w:sz w:val="24"/>
        </w:rPr>
        <w:t>中国医药集团联合工程有限公司</w:t>
      </w:r>
    </w:p>
    <w:p>
      <w:pPr>
        <w:widowControl/>
        <w:tabs>
          <w:tab w:val="left" w:pos="824"/>
        </w:tabs>
        <w:snapToGrid w:val="0"/>
        <w:spacing w:line="360" w:lineRule="auto"/>
        <w:jc w:val="left"/>
        <w:rPr>
          <w:rFonts w:ascii="宋体" w:hAnsi="宋体"/>
          <w:kern w:val="0"/>
          <w:sz w:val="24"/>
        </w:rPr>
      </w:pPr>
      <w:r>
        <w:rPr>
          <w:rFonts w:ascii="宋体" w:hAnsi="宋体"/>
          <w:kern w:val="0"/>
          <w:sz w:val="24"/>
        </w:rPr>
        <w:t>1.</w:t>
      </w:r>
      <w:r>
        <w:rPr>
          <w:rFonts w:hint="eastAsia" w:ascii="宋体" w:hAnsi="宋体"/>
          <w:kern w:val="0"/>
          <w:sz w:val="24"/>
        </w:rPr>
        <w:t>5</w:t>
      </w:r>
      <w:r>
        <w:rPr>
          <w:rFonts w:ascii="宋体" w:hAnsi="宋体"/>
          <w:kern w:val="0"/>
          <w:sz w:val="24"/>
        </w:rPr>
        <w:t xml:space="preserve">  </w:t>
      </w:r>
      <w:r>
        <w:rPr>
          <w:rFonts w:hint="eastAsia" w:ascii="宋体" w:hAnsi="宋体"/>
          <w:kern w:val="0"/>
          <w:sz w:val="24"/>
        </w:rPr>
        <w:t>工程</w:t>
      </w:r>
      <w:r>
        <w:rPr>
          <w:rFonts w:ascii="宋体" w:hAnsi="宋体"/>
          <w:kern w:val="0"/>
          <w:sz w:val="24"/>
        </w:rPr>
        <w:t>造价</w:t>
      </w:r>
      <w:r>
        <w:rPr>
          <w:rFonts w:hint="eastAsia" w:ascii="宋体" w:hAnsi="宋体"/>
          <w:kern w:val="0"/>
          <w:sz w:val="24"/>
          <w:lang w:eastAsia="zh-CN"/>
        </w:rPr>
        <w:t>编制</w:t>
      </w:r>
      <w:r>
        <w:rPr>
          <w:rFonts w:ascii="宋体" w:hAnsi="宋体"/>
          <w:kern w:val="0"/>
          <w:sz w:val="24"/>
        </w:rPr>
        <w:t>单位：</w:t>
      </w:r>
      <w:r>
        <w:rPr>
          <w:rFonts w:hint="eastAsia" w:ascii="宋体" w:hAnsi="宋体"/>
          <w:kern w:val="0"/>
          <w:sz w:val="24"/>
        </w:rPr>
        <w:t>广东拓腾工程造价咨询有限公司</w:t>
      </w:r>
    </w:p>
    <w:p>
      <w:pPr>
        <w:widowControl/>
        <w:tabs>
          <w:tab w:val="left" w:pos="824"/>
        </w:tabs>
        <w:snapToGrid w:val="0"/>
        <w:spacing w:line="360" w:lineRule="auto"/>
        <w:ind w:left="600" w:hanging="600" w:hangingChars="250"/>
        <w:jc w:val="left"/>
        <w:rPr>
          <w:rFonts w:ascii="宋体" w:hAnsi="宋体"/>
          <w:kern w:val="0"/>
          <w:sz w:val="24"/>
        </w:rPr>
      </w:pPr>
      <w:r>
        <w:rPr>
          <w:rFonts w:hint="eastAsia" w:ascii="宋体" w:hAnsi="宋体"/>
          <w:kern w:val="0"/>
          <w:sz w:val="24"/>
        </w:rPr>
        <w:t>1.6</w:t>
      </w:r>
      <w:r>
        <w:rPr>
          <w:rFonts w:ascii="宋体" w:hAnsi="宋体"/>
          <w:kern w:val="0"/>
          <w:sz w:val="24"/>
        </w:rPr>
        <w:t xml:space="preserve">  </w:t>
      </w:r>
      <w:r>
        <w:rPr>
          <w:rFonts w:hint="eastAsia" w:ascii="宋体" w:hAnsi="宋体"/>
          <w:kern w:val="0"/>
          <w:sz w:val="24"/>
        </w:rPr>
        <w:t>工程概算：工程总概算50000万元</w:t>
      </w:r>
    </w:p>
    <w:p>
      <w:pPr>
        <w:widowControl/>
        <w:tabs>
          <w:tab w:val="left" w:pos="824"/>
        </w:tabs>
        <w:snapToGrid w:val="0"/>
        <w:spacing w:line="360" w:lineRule="auto"/>
        <w:ind w:left="600" w:hanging="600" w:hangingChars="250"/>
        <w:jc w:val="left"/>
        <w:rPr>
          <w:rFonts w:ascii="宋体" w:hAnsi="宋体"/>
          <w:kern w:val="0"/>
          <w:sz w:val="24"/>
        </w:rPr>
      </w:pPr>
      <w:r>
        <w:rPr>
          <w:rFonts w:ascii="宋体" w:hAnsi="宋体"/>
          <w:kern w:val="0"/>
          <w:sz w:val="24"/>
        </w:rPr>
        <w:t>1.</w:t>
      </w:r>
      <w:r>
        <w:rPr>
          <w:rFonts w:hint="eastAsia" w:ascii="宋体" w:hAnsi="宋体"/>
          <w:kern w:val="0"/>
          <w:sz w:val="24"/>
        </w:rPr>
        <w:t>7</w:t>
      </w:r>
      <w:r>
        <w:rPr>
          <w:rFonts w:ascii="宋体" w:hAnsi="宋体"/>
          <w:kern w:val="0"/>
          <w:sz w:val="24"/>
        </w:rPr>
        <w:t xml:space="preserve">  </w:t>
      </w:r>
      <w:r>
        <w:rPr>
          <w:rFonts w:hint="eastAsia" w:ascii="宋体" w:hAnsi="宋体"/>
          <w:kern w:val="0"/>
          <w:sz w:val="24"/>
        </w:rPr>
        <w:t>数    量：总建筑面积67683 m</w:t>
      </w:r>
      <w:r>
        <w:rPr>
          <w:rFonts w:ascii="宋体" w:hAnsi="宋体"/>
          <w:kern w:val="0"/>
          <w:sz w:val="24"/>
        </w:rPr>
        <w:t>²</w:t>
      </w:r>
    </w:p>
    <w:p>
      <w:pPr>
        <w:widowControl/>
        <w:tabs>
          <w:tab w:val="left" w:pos="824"/>
        </w:tabs>
        <w:snapToGrid w:val="0"/>
        <w:spacing w:line="360" w:lineRule="auto"/>
        <w:ind w:left="600" w:hanging="600" w:hangingChars="250"/>
        <w:jc w:val="left"/>
        <w:rPr>
          <w:rFonts w:ascii="宋体" w:hAnsi="宋体"/>
          <w:kern w:val="0"/>
          <w:sz w:val="24"/>
        </w:rPr>
      </w:pPr>
      <w:r>
        <w:rPr>
          <w:rFonts w:hint="eastAsia" w:ascii="宋体" w:hAnsi="宋体"/>
          <w:kern w:val="0"/>
          <w:sz w:val="24"/>
        </w:rPr>
        <w:t>1.8  服务名称：工程全过程造价咨询审核服务</w:t>
      </w:r>
    </w:p>
    <w:p>
      <w:pPr>
        <w:widowControl/>
        <w:spacing w:line="360" w:lineRule="auto"/>
        <w:jc w:val="left"/>
        <w:rPr>
          <w:rFonts w:ascii="宋体" w:hAnsi="宋体"/>
          <w:b/>
          <w:kern w:val="0"/>
          <w:sz w:val="28"/>
          <w:szCs w:val="28"/>
        </w:rPr>
      </w:pPr>
      <w:r>
        <w:rPr>
          <w:rFonts w:ascii="宋体" w:hAnsi="宋体"/>
          <w:b/>
          <w:kern w:val="0"/>
          <w:sz w:val="28"/>
          <w:szCs w:val="28"/>
        </w:rPr>
        <w:t>二、目的</w:t>
      </w:r>
    </w:p>
    <w:p>
      <w:pPr>
        <w:widowControl/>
        <w:spacing w:line="360" w:lineRule="auto"/>
        <w:ind w:firstLine="480" w:firstLineChars="200"/>
        <w:jc w:val="left"/>
        <w:rPr>
          <w:rFonts w:ascii="宋体" w:hAnsi="宋体"/>
          <w:kern w:val="0"/>
          <w:sz w:val="24"/>
        </w:rPr>
      </w:pPr>
      <w:r>
        <w:rPr>
          <w:rFonts w:ascii="宋体" w:hAnsi="宋体"/>
          <w:kern w:val="0"/>
          <w:sz w:val="24"/>
        </w:rPr>
        <w:t>本URS的制定是根据</w:t>
      </w:r>
      <w:r>
        <w:rPr>
          <w:rFonts w:hint="eastAsia" w:ascii="宋体" w:hAnsi="宋体"/>
          <w:kern w:val="0"/>
          <w:sz w:val="24"/>
        </w:rPr>
        <w:t>广药白云山化学制药（珠海）有限公司建设项目</w:t>
      </w:r>
      <w:r>
        <w:rPr>
          <w:rFonts w:ascii="宋体" w:hAnsi="宋体"/>
          <w:kern w:val="0"/>
          <w:sz w:val="24"/>
        </w:rPr>
        <w:t>的技术要求，</w:t>
      </w:r>
      <w:r>
        <w:rPr>
          <w:rFonts w:hint="eastAsia" w:ascii="宋体" w:hAnsi="宋体"/>
          <w:kern w:val="0"/>
          <w:sz w:val="24"/>
        </w:rPr>
        <w:t>供应方为广药白云山化学制药（珠海）有限公司建设项目提供工程全过程造价咨询审核服务，为本项目的全过程造价咨询审核服务工作，服务内容包括但不限于：本项目设计阶段、招标阶段、施工阶段、结算阶段、配合工程决算工作等全过程工程造价咨询审核服务、投资控制工作及协助招标人完成审计机关的审计，为项目造价纠纷提供技术支持（委托人保留调整工作范围和内容的权利），必须包括项目设计概算审核，</w:t>
      </w:r>
      <w:r>
        <w:rPr>
          <w:rFonts w:ascii="宋体" w:hAnsi="宋体"/>
          <w:kern w:val="0"/>
          <w:sz w:val="24"/>
        </w:rPr>
        <w:t>各类</w:t>
      </w:r>
      <w:r>
        <w:rPr>
          <w:rFonts w:hint="eastAsia" w:ascii="宋体" w:hAnsi="宋体"/>
          <w:kern w:val="0"/>
          <w:sz w:val="24"/>
        </w:rPr>
        <w:t>土建工程（含软基处理工程、建筑工程、道路、围墙、绿化、水池等）及机电安装</w:t>
      </w:r>
      <w:r>
        <w:rPr>
          <w:rFonts w:ascii="宋体" w:hAnsi="宋体"/>
          <w:kern w:val="0"/>
          <w:sz w:val="24"/>
        </w:rPr>
        <w:t>工程</w:t>
      </w:r>
      <w:r>
        <w:rPr>
          <w:rFonts w:hint="eastAsia" w:ascii="宋体" w:hAnsi="宋体"/>
          <w:kern w:val="0"/>
          <w:sz w:val="24"/>
        </w:rPr>
        <w:t>（含各类机电安装、信息化及自动化安装、消防安装等）的工程预算审核（其中</w:t>
      </w:r>
      <w:r>
        <w:rPr>
          <w:rFonts w:hint="eastAsia"/>
          <w:kern w:val="0"/>
          <w:sz w:val="24"/>
        </w:rPr>
        <w:t>软基处理工程、北区建筑工程和南区建筑工程）已完成招标，总费用约2.75亿元，不需要工程预算审核；污水处理系统及安装已完成招标，总费用</w:t>
      </w:r>
      <w:r>
        <w:rPr>
          <w:rFonts w:hint="eastAsia" w:ascii="宋体" w:hAnsi="宋体"/>
          <w:kern w:val="0"/>
          <w:sz w:val="24"/>
        </w:rPr>
        <w:t>2178万元，不需要工程预算审核）、施工期间的变更造价审核、工程结算书审核，通用设备设施预算审核及招标限价建议书等工作。</w:t>
      </w:r>
    </w:p>
    <w:p>
      <w:pPr>
        <w:widowControl/>
        <w:spacing w:line="360" w:lineRule="auto"/>
        <w:ind w:firstLine="480" w:firstLineChars="200"/>
        <w:jc w:val="left"/>
        <w:rPr>
          <w:rFonts w:ascii="宋体" w:hAnsi="宋体"/>
          <w:kern w:val="0"/>
          <w:sz w:val="24"/>
        </w:rPr>
      </w:pPr>
      <w:r>
        <w:rPr>
          <w:rFonts w:ascii="宋体" w:hAnsi="宋体"/>
          <w:kern w:val="0"/>
          <w:sz w:val="24"/>
        </w:rPr>
        <w:t>在本URS中用户仅提出基本的技术要求和系统的基本要求，并未涵盖和限制</w:t>
      </w:r>
      <w:bookmarkStart w:id="1" w:name="_Hlk4888575"/>
      <w:r>
        <w:rPr>
          <w:rFonts w:ascii="宋体" w:hAnsi="宋体"/>
          <w:kern w:val="0"/>
          <w:sz w:val="24"/>
        </w:rPr>
        <w:t>供应</w:t>
      </w:r>
      <w:bookmarkStart w:id="2" w:name="_Hlk4888480"/>
      <w:r>
        <w:rPr>
          <w:rFonts w:ascii="宋体" w:hAnsi="宋体"/>
          <w:kern w:val="0"/>
          <w:sz w:val="24"/>
        </w:rPr>
        <w:t>方</w:t>
      </w:r>
      <w:bookmarkEnd w:id="1"/>
      <w:bookmarkEnd w:id="2"/>
      <w:r>
        <w:rPr>
          <w:rFonts w:ascii="宋体" w:hAnsi="宋体"/>
          <w:kern w:val="0"/>
          <w:sz w:val="24"/>
        </w:rPr>
        <w:t>更高的</w:t>
      </w:r>
      <w:r>
        <w:rPr>
          <w:rFonts w:hint="eastAsia" w:ascii="宋体" w:hAnsi="宋体"/>
          <w:kern w:val="0"/>
          <w:sz w:val="24"/>
        </w:rPr>
        <w:t>工程</w:t>
      </w:r>
      <w:r>
        <w:rPr>
          <w:rFonts w:ascii="宋体" w:hAnsi="宋体"/>
          <w:kern w:val="0"/>
          <w:sz w:val="24"/>
        </w:rPr>
        <w:t>标准和更加完善的功能、更完善的配置和性能、更优异的</w:t>
      </w:r>
      <w:r>
        <w:rPr>
          <w:rFonts w:hint="eastAsia" w:ascii="宋体" w:hAnsi="宋体"/>
          <w:kern w:val="0"/>
          <w:sz w:val="24"/>
        </w:rPr>
        <w:t>质量</w:t>
      </w:r>
      <w:r>
        <w:rPr>
          <w:rFonts w:ascii="宋体" w:hAnsi="宋体"/>
          <w:kern w:val="0"/>
          <w:sz w:val="24"/>
        </w:rPr>
        <w:t>和更高水平的</w:t>
      </w:r>
      <w:r>
        <w:rPr>
          <w:rFonts w:hint="eastAsia" w:ascii="宋体" w:hAnsi="宋体"/>
          <w:kern w:val="0"/>
          <w:sz w:val="24"/>
        </w:rPr>
        <w:t>服务；</w:t>
      </w:r>
      <w:r>
        <w:rPr>
          <w:rFonts w:ascii="宋体" w:hAnsi="宋体"/>
          <w:kern w:val="0"/>
          <w:sz w:val="24"/>
        </w:rPr>
        <w:t>供应方应在满足本URS的前提下提供供应方能够达到的更高标准和功能的高质量相关服务。</w:t>
      </w:r>
    </w:p>
    <w:p>
      <w:pPr>
        <w:widowControl/>
        <w:spacing w:line="360" w:lineRule="auto"/>
        <w:ind w:firstLine="480" w:firstLineChars="200"/>
        <w:jc w:val="left"/>
        <w:rPr>
          <w:rFonts w:ascii="宋体" w:hAnsi="宋体"/>
          <w:kern w:val="0"/>
          <w:sz w:val="24"/>
        </w:rPr>
      </w:pPr>
      <w:r>
        <w:rPr>
          <w:rFonts w:ascii="宋体" w:hAnsi="宋体"/>
          <w:sz w:val="24"/>
        </w:rPr>
        <w:t>供应方的</w:t>
      </w:r>
      <w:r>
        <w:rPr>
          <w:rFonts w:hint="eastAsia" w:ascii="宋体" w:hAnsi="宋体"/>
          <w:sz w:val="24"/>
        </w:rPr>
        <w:t>工作质量标准</w:t>
      </w:r>
      <w:r>
        <w:rPr>
          <w:rFonts w:hint="eastAsia" w:ascii="宋体" w:hAnsi="宋体" w:cs="Times New Roman"/>
          <w:sz w:val="24"/>
          <w:szCs w:val="22"/>
          <w:lang w:val="en-US" w:eastAsia="zh-CN"/>
        </w:rPr>
        <w:t>必须</w:t>
      </w:r>
      <w:r>
        <w:rPr>
          <w:rFonts w:hint="eastAsia" w:ascii="宋体" w:hAnsi="宋体" w:cs="Times New Roman"/>
          <w:sz w:val="24"/>
          <w:szCs w:val="22"/>
        </w:rPr>
        <w:t>符合国家、广东省、珠海市法律法规及</w:t>
      </w:r>
      <w:r>
        <w:rPr>
          <w:rFonts w:hint="eastAsia" w:ascii="宋体" w:hAnsi="宋体" w:cs="Times New Roman"/>
          <w:sz w:val="24"/>
          <w:szCs w:val="22"/>
          <w:lang w:eastAsia="zh-CN"/>
        </w:rPr>
        <w:t>《广东省建设项目全过程造价管理规范 》（DBJ/T15-153-2019）</w:t>
      </w:r>
      <w:r>
        <w:rPr>
          <w:rFonts w:hint="eastAsia" w:ascii="宋体" w:hAnsi="宋体" w:cs="Times New Roman"/>
          <w:sz w:val="24"/>
          <w:szCs w:val="22"/>
        </w:rPr>
        <w:t>有关规定，</w:t>
      </w:r>
      <w:r>
        <w:rPr>
          <w:rFonts w:hint="eastAsia" w:ascii="宋体" w:hAnsi="宋体" w:cs="Times New Roman"/>
          <w:sz w:val="24"/>
          <w:szCs w:val="22"/>
          <w:lang w:val="en-US" w:eastAsia="zh-CN"/>
        </w:rPr>
        <w:t>项目造价成果质量的造价偏差应控制在</w:t>
      </w:r>
      <w:r>
        <w:rPr>
          <w:rFonts w:hint="eastAsia" w:ascii="宋体" w:hAnsi="宋体" w:cs="Times New Roman"/>
          <w:sz w:val="24"/>
          <w:szCs w:val="22"/>
          <w:lang w:eastAsia="zh-CN"/>
        </w:rPr>
        <w:t>《广东省建设项目全过程造价管理规范 》（DBJ/T15-153-2019）</w:t>
      </w:r>
      <w:r>
        <w:rPr>
          <w:rFonts w:hint="eastAsia" w:ascii="宋体" w:hAnsi="宋体" w:cs="Times New Roman"/>
          <w:sz w:val="24"/>
          <w:szCs w:val="22"/>
          <w:lang w:val="en-US" w:eastAsia="zh-CN"/>
        </w:rPr>
        <w:t>规定的误差率内，</w:t>
      </w:r>
      <w:r>
        <w:rPr>
          <w:rFonts w:hint="eastAsia" w:ascii="宋体" w:hAnsi="宋体" w:cs="Times New Roman"/>
          <w:sz w:val="24"/>
          <w:szCs w:val="22"/>
        </w:rPr>
        <w:t>达到相关规定及本招标文件及合同要求的深度。</w:t>
      </w:r>
      <w:r>
        <w:rPr>
          <w:rFonts w:ascii="宋体" w:hAnsi="宋体"/>
          <w:sz w:val="24"/>
        </w:rPr>
        <w:t>如遇与供应方所执行的标准发生矛盾时，应按较高标准执行（强制性标准除外）</w:t>
      </w:r>
      <w:r>
        <w:rPr>
          <w:rFonts w:hint="eastAsia" w:ascii="宋体" w:hAnsi="宋体"/>
          <w:sz w:val="24"/>
        </w:rPr>
        <w:t>。</w:t>
      </w:r>
      <w:r>
        <w:rPr>
          <w:rFonts w:ascii="宋体" w:hAnsi="宋体"/>
          <w:sz w:val="24"/>
        </w:rPr>
        <w:t>该URS在移交给供应方之后，将意味着所有指定的要求被涵盖在供应方的供应范围之内。本文档的解释权由</w:t>
      </w:r>
      <w:r>
        <w:rPr>
          <w:rFonts w:hint="eastAsia" w:ascii="宋体" w:hAnsi="宋体"/>
          <w:sz w:val="24"/>
        </w:rPr>
        <w:t>广药白云山化学制药（珠海）有限公司</w:t>
      </w:r>
      <w:r>
        <w:rPr>
          <w:rFonts w:ascii="宋体" w:hAnsi="宋体"/>
          <w:sz w:val="24"/>
        </w:rPr>
        <w:t>负责。</w:t>
      </w:r>
    </w:p>
    <w:p>
      <w:pPr>
        <w:widowControl/>
        <w:spacing w:line="360" w:lineRule="auto"/>
        <w:jc w:val="left"/>
        <w:rPr>
          <w:rFonts w:ascii="宋体" w:hAnsi="宋体"/>
          <w:b/>
          <w:kern w:val="0"/>
          <w:sz w:val="28"/>
          <w:szCs w:val="28"/>
        </w:rPr>
      </w:pPr>
      <w:r>
        <w:rPr>
          <w:rFonts w:ascii="宋体" w:hAnsi="宋体"/>
          <w:b/>
          <w:kern w:val="0"/>
          <w:sz w:val="28"/>
          <w:szCs w:val="28"/>
        </w:rPr>
        <w:t>三、描述</w:t>
      </w:r>
    </w:p>
    <w:p>
      <w:pPr>
        <w:widowControl/>
        <w:tabs>
          <w:tab w:val="left" w:pos="824"/>
        </w:tabs>
        <w:snapToGrid w:val="0"/>
        <w:spacing w:line="360" w:lineRule="auto"/>
        <w:ind w:firstLine="480" w:firstLineChars="200"/>
        <w:rPr>
          <w:kern w:val="0"/>
          <w:sz w:val="24"/>
        </w:rPr>
      </w:pPr>
      <w:r>
        <w:rPr>
          <w:rFonts w:hint="eastAsia"/>
          <w:kern w:val="0"/>
          <w:sz w:val="24"/>
        </w:rPr>
        <w:t>项目工业用地面积144亩，总建筑面积约为6.7万平方米，建设投资额约66000万元。项目建设内容为101头孢无菌原料药车间</w:t>
      </w:r>
      <w:r>
        <w:rPr>
          <w:rFonts w:hint="eastAsia"/>
          <w:sz w:val="24"/>
        </w:rPr>
        <w:t>及</w:t>
      </w:r>
      <w:r>
        <w:rPr>
          <w:rFonts w:hint="eastAsia"/>
          <w:kern w:val="0"/>
          <w:sz w:val="24"/>
        </w:rPr>
        <w:t>回收车间、102头孢原料药车间</w:t>
      </w:r>
      <w:r>
        <w:rPr>
          <w:rFonts w:hint="eastAsia"/>
          <w:sz w:val="24"/>
        </w:rPr>
        <w:t>及</w:t>
      </w:r>
      <w:r>
        <w:rPr>
          <w:rFonts w:hint="eastAsia"/>
          <w:kern w:val="0"/>
          <w:sz w:val="24"/>
        </w:rPr>
        <w:t>回收车间、103非头孢原料药车间</w:t>
      </w:r>
      <w:r>
        <w:rPr>
          <w:rFonts w:hint="eastAsia"/>
          <w:sz w:val="24"/>
        </w:rPr>
        <w:t>及</w:t>
      </w:r>
      <w:r>
        <w:rPr>
          <w:rFonts w:hint="eastAsia"/>
          <w:kern w:val="0"/>
          <w:sz w:val="24"/>
        </w:rPr>
        <w:t>回收车间、104</w:t>
      </w:r>
      <w:r>
        <w:rPr>
          <w:rFonts w:hint="eastAsia"/>
          <w:sz w:val="24"/>
        </w:rPr>
        <w:t>/</w:t>
      </w:r>
      <w:r>
        <w:rPr>
          <w:rFonts w:hint="eastAsia"/>
          <w:kern w:val="0"/>
          <w:sz w:val="24"/>
        </w:rPr>
        <w:t>105</w:t>
      </w:r>
      <w:r>
        <w:rPr>
          <w:rFonts w:hint="eastAsia"/>
          <w:sz w:val="24"/>
        </w:rPr>
        <w:t>/</w:t>
      </w:r>
      <w:r>
        <w:rPr>
          <w:rFonts w:hint="eastAsia"/>
          <w:kern w:val="0"/>
          <w:sz w:val="24"/>
        </w:rPr>
        <w:t>106危险品库、107非头孢仓库、117头孢仓库、111泵棚、112卸料棚、121储罐区、109固废暂存、110设备房、115污水处理站</w:t>
      </w:r>
      <w:r>
        <w:rPr>
          <w:rFonts w:hint="eastAsia"/>
          <w:sz w:val="24"/>
        </w:rPr>
        <w:t>（含初期雨水收集池）</w:t>
      </w:r>
      <w:r>
        <w:rPr>
          <w:rFonts w:hint="eastAsia"/>
          <w:kern w:val="0"/>
          <w:sz w:val="24"/>
        </w:rPr>
        <w:t>、116尾气处理、108动力中心</w:t>
      </w:r>
      <w:r>
        <w:rPr>
          <w:rFonts w:hint="eastAsia"/>
          <w:sz w:val="24"/>
        </w:rPr>
        <w:t>（含蓄冷池、清水池和循环水池）</w:t>
      </w:r>
      <w:r>
        <w:rPr>
          <w:rFonts w:hint="eastAsia"/>
          <w:kern w:val="0"/>
          <w:sz w:val="24"/>
        </w:rPr>
        <w:t>、113质检楼、114食堂办公综合楼、门房1</w:t>
      </w:r>
      <w:r>
        <w:rPr>
          <w:rFonts w:hint="eastAsia"/>
          <w:sz w:val="24"/>
        </w:rPr>
        <w:t>/</w:t>
      </w:r>
      <w:r>
        <w:rPr>
          <w:rFonts w:hint="eastAsia"/>
          <w:kern w:val="0"/>
          <w:sz w:val="24"/>
        </w:rPr>
        <w:t>2、外管架和总图工程（绿化、道路、围墙等）等。包含以上项目的设备、土建工程（包括软基处理、建筑结构、桩基础、水池、管架、道路、围墙、绿化等）和机电安装工程（包括工艺设备、管道，自控，通风空调、冷冻蓄冷，电气、弱电、给排水、消防，信息化工程等）。</w:t>
      </w:r>
    </w:p>
    <w:p>
      <w:pPr>
        <w:widowControl/>
        <w:spacing w:line="360" w:lineRule="auto"/>
        <w:jc w:val="left"/>
        <w:rPr>
          <w:rFonts w:ascii="宋体" w:hAnsi="宋体"/>
          <w:b/>
          <w:kern w:val="0"/>
          <w:sz w:val="28"/>
          <w:szCs w:val="28"/>
        </w:rPr>
      </w:pPr>
      <w:r>
        <w:rPr>
          <w:rFonts w:hint="eastAsia" w:ascii="宋体" w:hAnsi="宋体"/>
          <w:b/>
          <w:kern w:val="0"/>
          <w:sz w:val="28"/>
          <w:szCs w:val="28"/>
        </w:rPr>
        <w:t>四、标准</w:t>
      </w:r>
    </w:p>
    <w:p>
      <w:pPr>
        <w:widowControl/>
        <w:tabs>
          <w:tab w:val="left" w:pos="824"/>
        </w:tabs>
        <w:snapToGrid w:val="0"/>
        <w:spacing w:line="360" w:lineRule="auto"/>
        <w:ind w:firstLine="480" w:firstLineChars="200"/>
        <w:rPr>
          <w:kern w:val="0"/>
          <w:sz w:val="24"/>
        </w:rPr>
      </w:pPr>
      <w:r>
        <w:rPr>
          <w:rFonts w:hint="eastAsia"/>
          <w:kern w:val="0"/>
          <w:sz w:val="24"/>
        </w:rPr>
        <w:t>本服务适用的法律、法规及工程造价计价办法和规定：本服务适用《中华人民共和国合同法》、国家建设部、广东省建委和珠海市等现行有关建设工程造价咨询业务方面的文件规定，包括但不局限于以下依据和方法：</w:t>
      </w:r>
    </w:p>
    <w:p>
      <w:pPr>
        <w:widowControl/>
        <w:tabs>
          <w:tab w:val="left" w:pos="824"/>
        </w:tabs>
        <w:snapToGrid w:val="0"/>
        <w:spacing w:line="360" w:lineRule="auto"/>
        <w:ind w:firstLine="480" w:firstLineChars="200"/>
        <w:rPr>
          <w:kern w:val="0"/>
          <w:sz w:val="24"/>
        </w:rPr>
      </w:pPr>
      <w:r>
        <w:rPr>
          <w:rFonts w:hint="eastAsia"/>
          <w:kern w:val="0"/>
          <w:sz w:val="24"/>
        </w:rPr>
        <w:t>（</w:t>
      </w:r>
      <w:r>
        <w:rPr>
          <w:kern w:val="0"/>
          <w:sz w:val="24"/>
        </w:rPr>
        <w:t>1</w:t>
      </w:r>
      <w:r>
        <w:rPr>
          <w:rFonts w:hint="eastAsia"/>
          <w:kern w:val="0"/>
          <w:sz w:val="24"/>
        </w:rPr>
        <w:t>）《化工建设项目可行性研究投资估算编制办法》</w:t>
      </w:r>
    </w:p>
    <w:p>
      <w:pPr>
        <w:widowControl/>
        <w:tabs>
          <w:tab w:val="left" w:pos="824"/>
        </w:tabs>
        <w:snapToGrid w:val="0"/>
        <w:spacing w:line="360" w:lineRule="auto"/>
        <w:ind w:firstLine="480" w:firstLineChars="200"/>
        <w:rPr>
          <w:kern w:val="0"/>
          <w:sz w:val="24"/>
        </w:rPr>
      </w:pPr>
      <w:r>
        <w:rPr>
          <w:rFonts w:hint="eastAsia"/>
          <w:kern w:val="0"/>
          <w:sz w:val="24"/>
        </w:rPr>
        <w:t>（</w:t>
      </w:r>
      <w:r>
        <w:rPr>
          <w:kern w:val="0"/>
          <w:sz w:val="24"/>
        </w:rPr>
        <w:t>2</w:t>
      </w:r>
      <w:r>
        <w:rPr>
          <w:rFonts w:hint="eastAsia"/>
          <w:kern w:val="0"/>
          <w:sz w:val="24"/>
        </w:rPr>
        <w:t>）投资方向调节税：因国家暂停征收投资方向调节税，故建设投资中不含此费用。</w:t>
      </w:r>
    </w:p>
    <w:p>
      <w:pPr>
        <w:widowControl/>
        <w:tabs>
          <w:tab w:val="left" w:pos="824"/>
        </w:tabs>
        <w:snapToGrid w:val="0"/>
        <w:spacing w:line="360" w:lineRule="auto"/>
        <w:ind w:firstLine="480" w:firstLineChars="200"/>
        <w:rPr>
          <w:kern w:val="0"/>
          <w:sz w:val="24"/>
        </w:rPr>
      </w:pPr>
      <w:r>
        <w:rPr>
          <w:rFonts w:hint="eastAsia"/>
          <w:kern w:val="0"/>
          <w:sz w:val="24"/>
        </w:rPr>
        <w:t>（</w:t>
      </w:r>
      <w:r>
        <w:rPr>
          <w:kern w:val="0"/>
          <w:sz w:val="24"/>
        </w:rPr>
        <w:t>3</w:t>
      </w:r>
      <w:r>
        <w:rPr>
          <w:rFonts w:hint="eastAsia"/>
          <w:kern w:val="0"/>
          <w:sz w:val="24"/>
        </w:rPr>
        <w:t>）国家发展计划委员会计投资</w:t>
      </w:r>
      <w:r>
        <w:rPr>
          <w:kern w:val="0"/>
          <w:sz w:val="24"/>
        </w:rPr>
        <w:t>[1999]1340</w:t>
      </w:r>
      <w:r>
        <w:rPr>
          <w:rFonts w:hint="eastAsia"/>
          <w:kern w:val="0"/>
          <w:sz w:val="24"/>
        </w:rPr>
        <w:t>号文规定，投资价格指数为零，即涨价预备费为零。</w:t>
      </w:r>
    </w:p>
    <w:p>
      <w:pPr>
        <w:widowControl/>
        <w:tabs>
          <w:tab w:val="left" w:pos="824"/>
        </w:tabs>
        <w:snapToGrid w:val="0"/>
        <w:spacing w:line="360" w:lineRule="auto"/>
        <w:ind w:firstLine="480" w:firstLineChars="200"/>
        <w:rPr>
          <w:kern w:val="0"/>
          <w:sz w:val="24"/>
        </w:rPr>
      </w:pPr>
      <w:r>
        <w:rPr>
          <w:rFonts w:hint="eastAsia"/>
          <w:kern w:val="0"/>
          <w:sz w:val="24"/>
        </w:rPr>
        <w:t>（</w:t>
      </w:r>
      <w:r>
        <w:rPr>
          <w:kern w:val="0"/>
          <w:sz w:val="24"/>
        </w:rPr>
        <w:t>4</w:t>
      </w:r>
      <w:r>
        <w:rPr>
          <w:rFonts w:hint="eastAsia"/>
          <w:kern w:val="0"/>
          <w:sz w:val="24"/>
        </w:rPr>
        <w:t>）国发〔2015〕51号：国务院关于调整和完善固定资产投资项目资本金制度的通知。</w:t>
      </w:r>
    </w:p>
    <w:p>
      <w:pPr>
        <w:widowControl/>
        <w:tabs>
          <w:tab w:val="left" w:pos="824"/>
        </w:tabs>
        <w:snapToGrid w:val="0"/>
        <w:spacing w:line="360" w:lineRule="auto"/>
        <w:ind w:firstLine="480" w:firstLineChars="200"/>
        <w:rPr>
          <w:kern w:val="0"/>
          <w:sz w:val="24"/>
        </w:rPr>
      </w:pPr>
      <w:r>
        <w:rPr>
          <w:rFonts w:hint="eastAsia"/>
          <w:kern w:val="0"/>
          <w:sz w:val="24"/>
        </w:rPr>
        <w:t>（</w:t>
      </w:r>
      <w:r>
        <w:rPr>
          <w:kern w:val="0"/>
          <w:sz w:val="24"/>
        </w:rPr>
        <w:t>5</w:t>
      </w:r>
      <w:r>
        <w:rPr>
          <w:rFonts w:hint="eastAsia"/>
          <w:kern w:val="0"/>
          <w:sz w:val="24"/>
        </w:rPr>
        <w:t>）建设单位管理费按照财建</w:t>
      </w:r>
      <w:r>
        <w:rPr>
          <w:kern w:val="0"/>
          <w:sz w:val="24"/>
        </w:rPr>
        <w:t>(20</w:t>
      </w:r>
      <w:r>
        <w:rPr>
          <w:rFonts w:hint="eastAsia"/>
          <w:kern w:val="0"/>
          <w:sz w:val="24"/>
        </w:rPr>
        <w:t>16</w:t>
      </w:r>
      <w:r>
        <w:rPr>
          <w:kern w:val="0"/>
          <w:sz w:val="24"/>
        </w:rPr>
        <w:t>)</w:t>
      </w:r>
      <w:r>
        <w:rPr>
          <w:rFonts w:hint="eastAsia"/>
          <w:kern w:val="0"/>
          <w:sz w:val="24"/>
        </w:rPr>
        <w:t>504号文执行。</w:t>
      </w:r>
    </w:p>
    <w:p>
      <w:pPr>
        <w:widowControl/>
        <w:tabs>
          <w:tab w:val="left" w:pos="824"/>
        </w:tabs>
        <w:snapToGrid w:val="0"/>
        <w:spacing w:line="360" w:lineRule="auto"/>
        <w:ind w:firstLine="480" w:firstLineChars="200"/>
        <w:rPr>
          <w:kern w:val="0"/>
          <w:sz w:val="24"/>
        </w:rPr>
      </w:pPr>
      <w:r>
        <w:rPr>
          <w:rFonts w:hint="eastAsia"/>
          <w:kern w:val="0"/>
          <w:sz w:val="24"/>
        </w:rPr>
        <w:t>（</w:t>
      </w:r>
      <w:r>
        <w:rPr>
          <w:kern w:val="0"/>
          <w:sz w:val="24"/>
        </w:rPr>
        <w:t>6</w:t>
      </w:r>
      <w:r>
        <w:rPr>
          <w:rFonts w:hint="eastAsia"/>
          <w:kern w:val="0"/>
          <w:sz w:val="24"/>
        </w:rPr>
        <w:t>）建设工程监理按照发改价格</w:t>
      </w:r>
      <w:r>
        <w:rPr>
          <w:kern w:val="0"/>
          <w:sz w:val="24"/>
        </w:rPr>
        <w:t>[2007]670</w:t>
      </w:r>
      <w:r>
        <w:rPr>
          <w:rFonts w:hint="eastAsia"/>
          <w:kern w:val="0"/>
          <w:sz w:val="24"/>
        </w:rPr>
        <w:t>号文执行。</w:t>
      </w:r>
    </w:p>
    <w:p>
      <w:pPr>
        <w:widowControl/>
        <w:tabs>
          <w:tab w:val="left" w:pos="824"/>
        </w:tabs>
        <w:snapToGrid w:val="0"/>
        <w:spacing w:line="360" w:lineRule="auto"/>
        <w:ind w:firstLine="480" w:firstLineChars="200"/>
        <w:rPr>
          <w:kern w:val="0"/>
          <w:sz w:val="24"/>
        </w:rPr>
      </w:pPr>
      <w:r>
        <w:rPr>
          <w:rFonts w:hint="eastAsia"/>
          <w:kern w:val="0"/>
          <w:sz w:val="24"/>
        </w:rPr>
        <w:t>（</w:t>
      </w:r>
      <w:r>
        <w:rPr>
          <w:kern w:val="0"/>
          <w:sz w:val="24"/>
        </w:rPr>
        <w:t>7</w:t>
      </w:r>
      <w:r>
        <w:rPr>
          <w:rFonts w:hint="eastAsia"/>
          <w:kern w:val="0"/>
          <w:sz w:val="24"/>
        </w:rPr>
        <w:t>）招标代理服务收费按照发改价格</w:t>
      </w:r>
      <w:r>
        <w:rPr>
          <w:kern w:val="0"/>
          <w:sz w:val="24"/>
        </w:rPr>
        <w:t>[2011]534</w:t>
      </w:r>
      <w:r>
        <w:rPr>
          <w:rFonts w:hint="eastAsia"/>
          <w:kern w:val="0"/>
          <w:sz w:val="24"/>
        </w:rPr>
        <w:t>号文执行。</w:t>
      </w:r>
    </w:p>
    <w:p>
      <w:pPr>
        <w:widowControl/>
        <w:tabs>
          <w:tab w:val="left" w:pos="824"/>
        </w:tabs>
        <w:snapToGrid w:val="0"/>
        <w:spacing w:line="360" w:lineRule="auto"/>
        <w:ind w:firstLine="480" w:firstLineChars="200"/>
        <w:rPr>
          <w:kern w:val="0"/>
          <w:sz w:val="24"/>
        </w:rPr>
      </w:pPr>
      <w:r>
        <w:rPr>
          <w:rFonts w:hint="eastAsia"/>
          <w:kern w:val="0"/>
          <w:sz w:val="24"/>
        </w:rPr>
        <w:t>（</w:t>
      </w:r>
      <w:r>
        <w:rPr>
          <w:kern w:val="0"/>
          <w:sz w:val="24"/>
        </w:rPr>
        <w:t>8</w:t>
      </w:r>
      <w:r>
        <w:rPr>
          <w:rFonts w:hint="eastAsia"/>
          <w:kern w:val="0"/>
          <w:sz w:val="24"/>
        </w:rPr>
        <w:t>）发改办价格</w:t>
      </w:r>
      <w:r>
        <w:rPr>
          <w:kern w:val="0"/>
          <w:sz w:val="24"/>
        </w:rPr>
        <w:t>[2003]857</w:t>
      </w:r>
      <w:r>
        <w:rPr>
          <w:rFonts w:hint="eastAsia"/>
          <w:kern w:val="0"/>
          <w:sz w:val="24"/>
        </w:rPr>
        <w:t>号《国家发展改革委办公厅关于招标代理服务收费有关问题的通知》。</w:t>
      </w:r>
    </w:p>
    <w:p>
      <w:pPr>
        <w:widowControl/>
        <w:tabs>
          <w:tab w:val="left" w:pos="824"/>
        </w:tabs>
        <w:snapToGrid w:val="0"/>
        <w:spacing w:line="360" w:lineRule="auto"/>
        <w:ind w:firstLine="480" w:firstLineChars="200"/>
        <w:rPr>
          <w:kern w:val="0"/>
          <w:sz w:val="24"/>
        </w:rPr>
      </w:pPr>
      <w:r>
        <w:rPr>
          <w:rFonts w:hint="eastAsia"/>
          <w:kern w:val="0"/>
          <w:sz w:val="24"/>
        </w:rPr>
        <w:t>（</w:t>
      </w:r>
      <w:r>
        <w:rPr>
          <w:kern w:val="0"/>
          <w:sz w:val="24"/>
        </w:rPr>
        <w:t>9</w:t>
      </w:r>
      <w:r>
        <w:rPr>
          <w:rFonts w:hint="eastAsia"/>
          <w:kern w:val="0"/>
          <w:sz w:val="24"/>
        </w:rPr>
        <w:t>）国产设备购置费均为询价或到厂价，建筑及安装工程费均采用近年来类似工程程技术经济指标进行估算。</w:t>
      </w:r>
    </w:p>
    <w:p>
      <w:pPr>
        <w:widowControl/>
        <w:tabs>
          <w:tab w:val="left" w:pos="824"/>
        </w:tabs>
        <w:snapToGrid w:val="0"/>
        <w:spacing w:line="360" w:lineRule="auto"/>
        <w:ind w:firstLine="480" w:firstLineChars="200"/>
        <w:rPr>
          <w:kern w:val="0"/>
          <w:sz w:val="24"/>
        </w:rPr>
      </w:pPr>
      <w:r>
        <w:rPr>
          <w:rFonts w:hint="eastAsia"/>
          <w:kern w:val="0"/>
          <w:sz w:val="24"/>
        </w:rPr>
        <w:t>（</w:t>
      </w:r>
      <w:r>
        <w:rPr>
          <w:kern w:val="0"/>
          <w:sz w:val="24"/>
        </w:rPr>
        <w:t>10</w:t>
      </w:r>
      <w:r>
        <w:rPr>
          <w:rFonts w:hint="eastAsia"/>
          <w:kern w:val="0"/>
          <w:sz w:val="24"/>
        </w:rPr>
        <w:t>）当地现行的有关政策及文件规定。</w:t>
      </w:r>
    </w:p>
    <w:p>
      <w:pPr>
        <w:widowControl/>
        <w:tabs>
          <w:tab w:val="left" w:pos="824"/>
        </w:tabs>
        <w:snapToGrid w:val="0"/>
        <w:spacing w:line="360" w:lineRule="auto"/>
        <w:ind w:firstLine="480" w:firstLineChars="200"/>
        <w:rPr>
          <w:kern w:val="0"/>
          <w:sz w:val="24"/>
        </w:rPr>
      </w:pPr>
      <w:r>
        <w:rPr>
          <w:rFonts w:hint="eastAsia"/>
          <w:kern w:val="0"/>
          <w:sz w:val="24"/>
        </w:rPr>
        <w:t>（11）工程量计算依据：（1）《房屋建筑和装饰工程工程量清单计算规范》（GB50854-2013）、《通用安装工程工程量计算规范》（GB50856-2013）、《市政工程工程量计算规范》（GB50857-2013）。</w:t>
      </w:r>
    </w:p>
    <w:p>
      <w:pPr>
        <w:widowControl/>
        <w:tabs>
          <w:tab w:val="left" w:pos="824"/>
        </w:tabs>
        <w:snapToGrid w:val="0"/>
        <w:spacing w:line="360" w:lineRule="auto"/>
        <w:ind w:firstLine="480" w:firstLineChars="200"/>
        <w:rPr>
          <w:rFonts w:ascii="宋体" w:hAnsi="宋体"/>
          <w:kern w:val="0"/>
          <w:sz w:val="24"/>
        </w:rPr>
      </w:pPr>
      <w:r>
        <w:rPr>
          <w:rFonts w:hint="eastAsia"/>
          <w:kern w:val="0"/>
          <w:sz w:val="24"/>
        </w:rPr>
        <w:t>（12）计价依据：（1）《建设工程工程量清单计价规范》（GB50500—2013）； （2）《广东省建筑与装饰工程综合定额(2018)》、《广东省安装工程综合定额(2018)》、《广东省市政工程综合定额(2018)》；（3）《关于停征排污费等行政事业性收费有关事项的通知》（财税[2018]4号）；（4）增值税执行广东省住房和城乡建设厅粤建市函 [2016]1113号文《关于营业税改征增值税后调整广东省建设工程计价依据的通知》；（5）人工、机械台班价格执行珠海市建设工程造价管理站《珠海工程造价信息》当月价格信息，其中机上人工单价按定额标准230元/工日，暂不调整。（7）预算取费标淮：利润按20%，建筑装饰工程绿色施工安全防护措施费按分部分项的人工费与施工机具费之和的19%计取，安装工程绿色施工安全防护措施费按分部分项的人工费与施工机具费之和的35.77%计取，暂列金额按分部分项金额的10%计取，增值税按9%计取。（8）预算包干费、文明工地增加费、工程优质费、材料保管费、赶工措施费、地下管线交叉降效费、夜间施工、行车、行人干扰等未计入本预算。（9）</w:t>
      </w:r>
      <w:r>
        <w:rPr>
          <w:rFonts w:hint="eastAsia" w:ascii="宋体" w:hAnsi="宋体"/>
          <w:kern w:val="0"/>
          <w:sz w:val="24"/>
        </w:rPr>
        <w:t>委托人提供的项目有关资料：详细的施工图纸、会审资料、地质资料等；（10）材料价格：① 采用珠海市建设工程造价管理站发布的最近一期的信息价；②在造价咨询审核服务过程中，对于《珠海市工程造价信息》中未列的材料需要询价时，由咨询人独立负责完成询价的相关工作，并以咨询人的询价结果作为结算依据，咨询人须对其询价结果负全责。</w:t>
      </w:r>
    </w:p>
    <w:p>
      <w:pPr>
        <w:widowControl/>
        <w:tabs>
          <w:tab w:val="left" w:pos="824"/>
        </w:tabs>
        <w:snapToGrid w:val="0"/>
        <w:spacing w:line="360" w:lineRule="auto"/>
        <w:ind w:firstLine="480" w:firstLineChars="200"/>
        <w:rPr>
          <w:kern w:val="0"/>
          <w:sz w:val="24"/>
        </w:rPr>
      </w:pPr>
      <w:r>
        <w:rPr>
          <w:rFonts w:hint="eastAsia"/>
          <w:kern w:val="0"/>
          <w:sz w:val="24"/>
        </w:rPr>
        <w:t>（</w:t>
      </w:r>
      <w:r>
        <w:rPr>
          <w:kern w:val="0"/>
          <w:sz w:val="24"/>
        </w:rPr>
        <w:t>13</w:t>
      </w:r>
      <w:r>
        <w:rPr>
          <w:rFonts w:hint="eastAsia"/>
          <w:kern w:val="0"/>
          <w:sz w:val="24"/>
        </w:rPr>
        <w:t>）取费依据：参照广东省物价局《关于调整我省建设工程造价咨询服务收费的复函》粤价函</w:t>
      </w:r>
      <w:r>
        <w:rPr>
          <w:kern w:val="0"/>
          <w:sz w:val="24"/>
        </w:rPr>
        <w:t>[2011]742</w:t>
      </w:r>
      <w:r>
        <w:rPr>
          <w:rFonts w:hint="eastAsia"/>
          <w:kern w:val="0"/>
          <w:sz w:val="24"/>
        </w:rPr>
        <w:t>号文。</w:t>
      </w:r>
    </w:p>
    <w:p>
      <w:pPr>
        <w:widowControl/>
        <w:tabs>
          <w:tab w:val="left" w:pos="824"/>
        </w:tabs>
        <w:snapToGrid w:val="0"/>
        <w:spacing w:line="360" w:lineRule="auto"/>
        <w:ind w:firstLine="480" w:firstLineChars="200"/>
        <w:rPr>
          <w:kern w:val="0"/>
          <w:sz w:val="24"/>
        </w:rPr>
      </w:pPr>
      <w:r>
        <w:rPr>
          <w:rFonts w:hint="eastAsia"/>
          <w:kern w:val="0"/>
          <w:sz w:val="24"/>
        </w:rPr>
        <w:t>（</w:t>
      </w:r>
      <w:r>
        <w:rPr>
          <w:kern w:val="0"/>
          <w:sz w:val="24"/>
        </w:rPr>
        <w:t>14</w:t>
      </w:r>
      <w:r>
        <w:rPr>
          <w:rFonts w:hint="eastAsia"/>
          <w:kern w:val="0"/>
          <w:sz w:val="24"/>
        </w:rPr>
        <w:t>）咨询人对施工图纸中存在的不明确因素影响造价文件审核的，一定要书面告知委托人；工程预算审核原则须经委托人确认后方可执行。</w:t>
      </w:r>
    </w:p>
    <w:p>
      <w:pPr>
        <w:widowControl/>
        <w:tabs>
          <w:tab w:val="left" w:pos="824"/>
        </w:tabs>
        <w:snapToGrid w:val="0"/>
        <w:spacing w:line="360" w:lineRule="auto"/>
        <w:ind w:firstLine="480" w:firstLineChars="200"/>
        <w:rPr>
          <w:kern w:val="0"/>
          <w:sz w:val="24"/>
        </w:rPr>
      </w:pPr>
      <w:r>
        <w:rPr>
          <w:rFonts w:hint="eastAsia"/>
          <w:kern w:val="0"/>
          <w:sz w:val="24"/>
        </w:rPr>
        <w:t>（</w:t>
      </w:r>
      <w:r>
        <w:rPr>
          <w:kern w:val="0"/>
          <w:sz w:val="24"/>
        </w:rPr>
        <w:t>15）其它适用的造价相关</w:t>
      </w:r>
      <w:r>
        <w:rPr>
          <w:rFonts w:hint="eastAsia"/>
          <w:kern w:val="0"/>
          <w:sz w:val="24"/>
        </w:rPr>
        <w:t>法规标准：实施建设项目全过程造价管理除应符合《广东省建设项目全过程造价管理规范》的要求外，尚应符合国家现行法律、法规、规章、标准、规范性文件和广东省的其他有关规定。</w:t>
      </w:r>
    </w:p>
    <w:p>
      <w:pPr>
        <w:widowControl/>
        <w:spacing w:line="360" w:lineRule="auto"/>
        <w:jc w:val="left"/>
        <w:rPr>
          <w:rFonts w:ascii="宋体" w:hAnsi="宋体"/>
          <w:b/>
          <w:kern w:val="0"/>
          <w:sz w:val="24"/>
          <w:szCs w:val="24"/>
        </w:rPr>
      </w:pPr>
    </w:p>
    <w:p>
      <w:pPr>
        <w:widowControl/>
        <w:spacing w:line="360" w:lineRule="auto"/>
        <w:jc w:val="left"/>
        <w:rPr>
          <w:rFonts w:ascii="宋体" w:hAnsi="宋体"/>
          <w:b/>
          <w:kern w:val="0"/>
          <w:sz w:val="28"/>
          <w:szCs w:val="28"/>
        </w:rPr>
      </w:pPr>
      <w:r>
        <w:rPr>
          <w:rFonts w:hint="eastAsia" w:ascii="宋体" w:hAnsi="宋体"/>
          <w:b/>
          <w:kern w:val="0"/>
          <w:sz w:val="28"/>
          <w:szCs w:val="28"/>
        </w:rPr>
        <w:t>五、资质、资格</w:t>
      </w:r>
    </w:p>
    <w:p>
      <w:pPr>
        <w:widowControl/>
        <w:spacing w:line="360" w:lineRule="auto"/>
        <w:jc w:val="left"/>
        <w:rPr>
          <w:rFonts w:ascii="宋体" w:hAnsi="宋体"/>
          <w:kern w:val="0"/>
          <w:sz w:val="24"/>
        </w:rPr>
      </w:pPr>
      <w:r>
        <w:rPr>
          <w:rFonts w:hint="eastAsia" w:ascii="宋体" w:hAnsi="宋体"/>
          <w:kern w:val="0"/>
          <w:sz w:val="24"/>
        </w:rPr>
        <w:t xml:space="preserve">    承建（服务）单位必须具有承接本工程所需的资质、资格条件：     </w:t>
      </w:r>
    </w:p>
    <w:p>
      <w:pPr>
        <w:spacing w:line="360" w:lineRule="auto"/>
        <w:ind w:firstLine="480" w:firstLineChars="200"/>
        <w:rPr>
          <w:rFonts w:ascii="宋体" w:hAnsi="宋体"/>
          <w:sz w:val="24"/>
          <w:szCs w:val="24"/>
        </w:rPr>
      </w:pPr>
      <w:r>
        <w:rPr>
          <w:rFonts w:hint="eastAsia" w:ascii="宋体" w:hAnsi="宋体"/>
          <w:sz w:val="24"/>
        </w:rPr>
        <w:t>5.1投标人具有建设行政主管部门颁发的工程造价咨询[ 甲 ]级资质</w:t>
      </w:r>
      <w:r>
        <w:rPr>
          <w:rFonts w:hint="eastAsia" w:cs="宋体"/>
          <w:sz w:val="24"/>
          <w:szCs w:val="24"/>
        </w:rPr>
        <w:t>。</w:t>
      </w:r>
    </w:p>
    <w:p>
      <w:pPr>
        <w:spacing w:line="360" w:lineRule="auto"/>
        <w:ind w:firstLine="480" w:firstLineChars="200"/>
        <w:rPr>
          <w:rFonts w:ascii="宋体" w:hAnsi="宋体"/>
          <w:sz w:val="24"/>
          <w:szCs w:val="24"/>
        </w:rPr>
      </w:pPr>
      <w:r>
        <w:rPr>
          <w:rFonts w:hint="eastAsia" w:ascii="宋体" w:hAnsi="宋体"/>
          <w:sz w:val="24"/>
        </w:rPr>
        <w:t>5.2</w:t>
      </w:r>
      <w:r>
        <w:rPr>
          <w:rFonts w:ascii="宋体" w:hAnsi="宋体"/>
          <w:sz w:val="24"/>
        </w:rPr>
        <w:t>拟派项目负责人具有[注册造价工程师]资格</w:t>
      </w:r>
      <w:r>
        <w:rPr>
          <w:rFonts w:hint="eastAsia" w:ascii="宋体" w:hAnsi="宋体"/>
          <w:sz w:val="24"/>
          <w:szCs w:val="24"/>
        </w:rPr>
        <w:t>。</w:t>
      </w:r>
    </w:p>
    <w:p>
      <w:pPr>
        <w:spacing w:line="360" w:lineRule="auto"/>
        <w:ind w:firstLine="480" w:firstLineChars="200"/>
        <w:rPr>
          <w:rFonts w:ascii="宋体" w:hAnsi="宋体"/>
          <w:sz w:val="24"/>
        </w:rPr>
      </w:pPr>
      <w:r>
        <w:rPr>
          <w:rFonts w:hint="eastAsia" w:ascii="宋体" w:hAnsi="宋体"/>
          <w:sz w:val="24"/>
        </w:rPr>
        <w:t>5.3不接受联合体投标人。</w:t>
      </w:r>
    </w:p>
    <w:p>
      <w:pPr>
        <w:spacing w:line="360" w:lineRule="auto"/>
        <w:ind w:firstLine="480" w:firstLineChars="200"/>
        <w:rPr>
          <w:rFonts w:ascii="宋体" w:hAnsi="宋体"/>
          <w:sz w:val="24"/>
        </w:rPr>
      </w:pPr>
      <w:r>
        <w:rPr>
          <w:rFonts w:hint="eastAsia" w:ascii="宋体" w:hAnsi="宋体"/>
          <w:sz w:val="24"/>
        </w:rPr>
        <w:t>5.4省外企业已在广东建设信息网（网址www.gdcic.net）进粤企业和人员诚信信息登记平台登记。</w:t>
      </w:r>
    </w:p>
    <w:p>
      <w:pPr>
        <w:spacing w:line="360" w:lineRule="auto"/>
        <w:ind w:firstLine="480" w:firstLineChars="200"/>
        <w:rPr>
          <w:rFonts w:ascii="宋体" w:hAnsi="宋体"/>
          <w:sz w:val="24"/>
        </w:rPr>
      </w:pPr>
      <w:r>
        <w:rPr>
          <w:rFonts w:hint="eastAsia" w:ascii="宋体" w:hAnsi="宋体"/>
          <w:sz w:val="24"/>
        </w:rPr>
        <w:t xml:space="preserve">5.5已在珠海市建设业务管理系统中完成诚信基本信息登记工作。 </w:t>
      </w:r>
    </w:p>
    <w:p>
      <w:pPr>
        <w:spacing w:line="360" w:lineRule="auto"/>
        <w:ind w:firstLine="480" w:firstLineChars="200"/>
        <w:rPr>
          <w:rFonts w:ascii="宋体" w:hAnsi="宋体"/>
          <w:sz w:val="24"/>
        </w:rPr>
      </w:pPr>
      <w:r>
        <w:rPr>
          <w:rFonts w:hint="eastAsia" w:ascii="宋体" w:hAnsi="宋体"/>
          <w:sz w:val="24"/>
        </w:rPr>
        <w:t>5.6具有独立的法人资格和独立的资质。</w:t>
      </w:r>
    </w:p>
    <w:p>
      <w:pPr>
        <w:spacing w:line="360" w:lineRule="auto"/>
        <w:ind w:firstLine="480" w:firstLineChars="200"/>
        <w:rPr>
          <w:rFonts w:ascii="宋体" w:hAnsi="宋体"/>
          <w:sz w:val="24"/>
        </w:rPr>
      </w:pPr>
      <w:r>
        <w:rPr>
          <w:rFonts w:hint="eastAsia" w:ascii="宋体" w:hAnsi="宋体"/>
          <w:sz w:val="24"/>
        </w:rPr>
        <w:t>5.8省外企业已在广东建设信息网（网址</w:t>
      </w:r>
      <w:r>
        <w:fldChar w:fldCharType="begin"/>
      </w:r>
      <w:r>
        <w:instrText xml:space="preserve"> HYPERLINK "http://www.gdcic.net）进粤企业和人员诚信信息登记" </w:instrText>
      </w:r>
      <w:r>
        <w:fldChar w:fldCharType="separate"/>
      </w:r>
      <w:r>
        <w:rPr>
          <w:rFonts w:hint="eastAsia" w:ascii="宋体" w:hAnsi="宋体"/>
          <w:sz w:val="24"/>
        </w:rPr>
        <w:t>www.gdcic.net）进粤企业和人员诚信信息登记</w:t>
      </w:r>
      <w:r>
        <w:rPr>
          <w:rFonts w:hint="eastAsia" w:ascii="宋体" w:hAnsi="宋体"/>
          <w:sz w:val="24"/>
        </w:rPr>
        <w:fldChar w:fldCharType="end"/>
      </w:r>
      <w:r>
        <w:rPr>
          <w:rFonts w:hint="eastAsia" w:ascii="宋体" w:hAnsi="宋体"/>
          <w:sz w:val="24"/>
        </w:rPr>
        <w:t>平台登记。</w:t>
      </w:r>
    </w:p>
    <w:p>
      <w:pPr>
        <w:spacing w:line="360" w:lineRule="auto"/>
        <w:ind w:firstLine="480" w:firstLineChars="200"/>
        <w:rPr>
          <w:rFonts w:ascii="宋体" w:hAnsi="宋体"/>
          <w:sz w:val="24"/>
        </w:rPr>
      </w:pPr>
      <w:r>
        <w:rPr>
          <w:rFonts w:hint="eastAsia" w:ascii="宋体" w:hAnsi="宋体"/>
          <w:sz w:val="24"/>
        </w:rPr>
        <w:t>5.8</w:t>
      </w:r>
      <w:r>
        <w:rPr>
          <w:rFonts w:hint="eastAsia" w:ascii="宋体" w:hAnsi="宋体"/>
          <w:sz w:val="24"/>
          <w:lang w:eastAsia="zh-CN"/>
        </w:rPr>
        <w:t>近三年（按招标公告发布之日起计算）完成过一项投资额不小于2亿元的房屋建筑工程全过程造价咨询业绩（提供咨询合同（或协议书）、预算书或控制价关键页（如委托人确认的成果封面、编制说明、汇总表等）复印件加盖投标人公章，时间以合同签订时间为准，金额以预算书或控制价上载明的金额为准，全过程以合同登载为准）。</w:t>
      </w:r>
    </w:p>
    <w:p>
      <w:pPr>
        <w:widowControl/>
        <w:spacing w:line="360" w:lineRule="auto"/>
        <w:jc w:val="left"/>
        <w:rPr>
          <w:rFonts w:ascii="宋体" w:hAnsi="宋体"/>
          <w:kern w:val="0"/>
          <w:sz w:val="24"/>
        </w:rPr>
      </w:pPr>
      <w:r>
        <w:rPr>
          <w:rFonts w:hint="eastAsia" w:ascii="宋体" w:hAnsi="宋体"/>
          <w:b/>
          <w:sz w:val="28"/>
          <w:szCs w:val="28"/>
        </w:rPr>
        <w:t>六、全过程造价服务要求</w:t>
      </w:r>
    </w:p>
    <w:p>
      <w:pPr>
        <w:widowControl/>
        <w:spacing w:line="360" w:lineRule="auto"/>
        <w:jc w:val="left"/>
        <w:rPr>
          <w:rFonts w:ascii="宋体" w:hAnsi="宋体"/>
          <w:kern w:val="0"/>
          <w:sz w:val="24"/>
        </w:rPr>
      </w:pPr>
      <w:r>
        <w:rPr>
          <w:rFonts w:hint="eastAsia" w:ascii="宋体" w:hAnsi="宋体"/>
          <w:sz w:val="24"/>
        </w:rPr>
        <w:t>工程全过程造价咨询审核服务服务内容及要求（URS要求确认）</w:t>
      </w:r>
    </w:p>
    <w:tbl>
      <w:tblPr>
        <w:tblStyle w:val="24"/>
        <w:tblW w:w="9744" w:type="dxa"/>
        <w:jc w:val="center"/>
        <w:tblInd w:w="-154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1418"/>
        <w:gridCol w:w="742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 w:hRule="atLeast"/>
          <w:jc w:val="center"/>
        </w:trPr>
        <w:tc>
          <w:tcPr>
            <w:tcW w:w="904" w:type="dxa"/>
            <w:vAlign w:val="center"/>
          </w:tcPr>
          <w:p>
            <w:pPr>
              <w:pStyle w:val="4"/>
              <w:spacing w:after="0"/>
              <w:ind w:firstLine="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项目</w:t>
            </w:r>
          </w:p>
        </w:tc>
        <w:tc>
          <w:tcPr>
            <w:tcW w:w="1418" w:type="dxa"/>
            <w:vAlign w:val="center"/>
          </w:tcPr>
          <w:p>
            <w:pPr>
              <w:pStyle w:val="4"/>
              <w:spacing w:after="0"/>
              <w:ind w:firstLine="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内容</w:t>
            </w:r>
          </w:p>
        </w:tc>
        <w:tc>
          <w:tcPr>
            <w:tcW w:w="7422" w:type="dxa"/>
            <w:vAlign w:val="center"/>
          </w:tcPr>
          <w:p>
            <w:pPr>
              <w:pStyle w:val="4"/>
              <w:spacing w:after="0"/>
              <w:ind w:firstLine="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说明与要求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904" w:type="dxa"/>
            <w:vAlign w:val="center"/>
          </w:tcPr>
          <w:p>
            <w:pPr>
              <w:pStyle w:val="4"/>
              <w:spacing w:after="0"/>
              <w:ind w:firstLine="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1</w:t>
            </w:r>
          </w:p>
        </w:tc>
        <w:tc>
          <w:tcPr>
            <w:tcW w:w="1418" w:type="dxa"/>
            <w:vAlign w:val="center"/>
          </w:tcPr>
          <w:p>
            <w:pPr>
              <w:pStyle w:val="4"/>
              <w:spacing w:after="0"/>
              <w:ind w:firstLine="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工程名称</w:t>
            </w:r>
          </w:p>
        </w:tc>
        <w:tc>
          <w:tcPr>
            <w:tcW w:w="7422" w:type="dxa"/>
            <w:vAlign w:val="center"/>
          </w:tcPr>
          <w:p>
            <w:pPr>
              <w:spacing w:line="360" w:lineRule="auto"/>
              <w:rPr>
                <w:rFonts w:asciiTheme="majorEastAsia" w:hAnsiTheme="majorEastAsia"/>
                <w:sz w:val="24"/>
                <w:szCs w:val="24"/>
              </w:rPr>
            </w:pPr>
            <w:r>
              <w:rPr>
                <w:rFonts w:hint="eastAsia"/>
                <w:kern w:val="0"/>
                <w:sz w:val="24"/>
              </w:rPr>
              <w:t>广药白云山化学制药（珠海）有限公司建设项目全过程造价咨询审核服务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jc w:val="center"/>
        </w:trPr>
        <w:tc>
          <w:tcPr>
            <w:tcW w:w="904" w:type="dxa"/>
            <w:vAlign w:val="center"/>
          </w:tcPr>
          <w:p>
            <w:pPr>
              <w:pStyle w:val="4"/>
              <w:spacing w:after="0"/>
              <w:ind w:firstLine="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2</w:t>
            </w:r>
          </w:p>
        </w:tc>
        <w:tc>
          <w:tcPr>
            <w:tcW w:w="1418" w:type="dxa"/>
            <w:vAlign w:val="center"/>
          </w:tcPr>
          <w:p>
            <w:pPr>
              <w:pStyle w:val="4"/>
              <w:spacing w:after="0"/>
              <w:ind w:firstLine="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建设地点</w:t>
            </w:r>
          </w:p>
        </w:tc>
        <w:tc>
          <w:tcPr>
            <w:tcW w:w="7422" w:type="dxa"/>
            <w:vAlign w:val="center"/>
          </w:tcPr>
          <w:p>
            <w:pPr>
              <w:pStyle w:val="4"/>
              <w:spacing w:after="0" w:line="360" w:lineRule="auto"/>
              <w:ind w:right="150" w:firstLine="0"/>
              <w:jc w:val="left"/>
              <w:rPr>
                <w:rFonts w:asciiTheme="majorEastAsia" w:hAnsiTheme="majorEastAsia" w:eastAsiaTheme="majorEastAsia"/>
                <w:sz w:val="24"/>
                <w:szCs w:val="24"/>
              </w:rPr>
            </w:pPr>
            <w:r>
              <w:rPr>
                <w:rFonts w:hint="eastAsia" w:asciiTheme="majorEastAsia" w:hAnsiTheme="majorEastAsia" w:eastAsiaTheme="majorEastAsia"/>
                <w:sz w:val="24"/>
                <w:szCs w:val="24"/>
              </w:rPr>
              <w:t>珠海市斗门区富山工业园内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jc w:val="center"/>
        </w:trPr>
        <w:tc>
          <w:tcPr>
            <w:tcW w:w="904" w:type="dxa"/>
            <w:vAlign w:val="center"/>
          </w:tcPr>
          <w:p>
            <w:pPr>
              <w:pStyle w:val="4"/>
              <w:spacing w:after="0"/>
              <w:ind w:firstLine="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3</w:t>
            </w:r>
          </w:p>
        </w:tc>
        <w:tc>
          <w:tcPr>
            <w:tcW w:w="1418" w:type="dxa"/>
            <w:vAlign w:val="center"/>
          </w:tcPr>
          <w:p>
            <w:pPr>
              <w:pStyle w:val="4"/>
              <w:spacing w:after="0"/>
              <w:ind w:firstLine="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建设规模</w:t>
            </w:r>
          </w:p>
        </w:tc>
        <w:tc>
          <w:tcPr>
            <w:tcW w:w="7422" w:type="dxa"/>
            <w:vAlign w:val="center"/>
          </w:tcPr>
          <w:p>
            <w:pPr>
              <w:widowControl/>
              <w:tabs>
                <w:tab w:val="left" w:pos="824"/>
              </w:tabs>
              <w:snapToGrid w:val="0"/>
              <w:spacing w:line="360" w:lineRule="auto"/>
              <w:jc w:val="left"/>
              <w:rPr>
                <w:rFonts w:asciiTheme="majorEastAsia" w:hAnsiTheme="majorEastAsia" w:eastAsiaTheme="majorEastAsia"/>
                <w:color w:val="000000"/>
                <w:sz w:val="24"/>
                <w:szCs w:val="24"/>
                <w:highlight w:val="none"/>
              </w:rPr>
            </w:pPr>
            <w:r>
              <w:rPr>
                <w:rFonts w:hint="eastAsia"/>
                <w:kern w:val="0"/>
                <w:sz w:val="24"/>
                <w:highlight w:val="none"/>
              </w:rPr>
              <w:t>项目工业用地面积144亩，总建筑面积约为6.7万平方米，建设投资额约66000万元。项目建设内容为101头孢无菌原料药车间</w:t>
            </w:r>
            <w:r>
              <w:rPr>
                <w:rFonts w:hint="eastAsia"/>
                <w:sz w:val="24"/>
                <w:highlight w:val="none"/>
              </w:rPr>
              <w:t>及</w:t>
            </w:r>
            <w:r>
              <w:rPr>
                <w:rFonts w:hint="eastAsia"/>
                <w:kern w:val="0"/>
                <w:sz w:val="24"/>
                <w:highlight w:val="none"/>
              </w:rPr>
              <w:t>回收车间、102头孢原料药车间</w:t>
            </w:r>
            <w:r>
              <w:rPr>
                <w:rFonts w:hint="eastAsia"/>
                <w:sz w:val="24"/>
                <w:highlight w:val="none"/>
              </w:rPr>
              <w:t>及</w:t>
            </w:r>
            <w:r>
              <w:rPr>
                <w:rFonts w:hint="eastAsia"/>
                <w:kern w:val="0"/>
                <w:sz w:val="24"/>
                <w:highlight w:val="none"/>
              </w:rPr>
              <w:t>回收车间、103非头孢原料药车间</w:t>
            </w:r>
            <w:r>
              <w:rPr>
                <w:rFonts w:hint="eastAsia"/>
                <w:sz w:val="24"/>
                <w:highlight w:val="none"/>
              </w:rPr>
              <w:t>及</w:t>
            </w:r>
            <w:r>
              <w:rPr>
                <w:rFonts w:hint="eastAsia"/>
                <w:kern w:val="0"/>
                <w:sz w:val="24"/>
                <w:highlight w:val="none"/>
              </w:rPr>
              <w:t>回收车间、104</w:t>
            </w:r>
            <w:r>
              <w:rPr>
                <w:rFonts w:hint="eastAsia"/>
                <w:sz w:val="24"/>
                <w:highlight w:val="none"/>
              </w:rPr>
              <w:t>/</w:t>
            </w:r>
            <w:r>
              <w:rPr>
                <w:rFonts w:hint="eastAsia"/>
                <w:kern w:val="0"/>
                <w:sz w:val="24"/>
                <w:highlight w:val="none"/>
              </w:rPr>
              <w:t>105</w:t>
            </w:r>
            <w:r>
              <w:rPr>
                <w:rFonts w:hint="eastAsia"/>
                <w:sz w:val="24"/>
                <w:highlight w:val="none"/>
              </w:rPr>
              <w:t>/</w:t>
            </w:r>
            <w:r>
              <w:rPr>
                <w:rFonts w:hint="eastAsia"/>
                <w:kern w:val="0"/>
                <w:sz w:val="24"/>
                <w:highlight w:val="none"/>
              </w:rPr>
              <w:t>106危险品库、107非头孢仓库、117头孢仓库、111泵棚、112卸料棚、121储罐区、109固废暂存、110设备房、115污水处理站</w:t>
            </w:r>
            <w:r>
              <w:rPr>
                <w:rFonts w:hint="eastAsia"/>
                <w:sz w:val="24"/>
                <w:highlight w:val="none"/>
              </w:rPr>
              <w:t>（含初期雨水收集池）</w:t>
            </w:r>
            <w:r>
              <w:rPr>
                <w:rFonts w:hint="eastAsia"/>
                <w:kern w:val="0"/>
                <w:sz w:val="24"/>
                <w:highlight w:val="none"/>
              </w:rPr>
              <w:t>、116尾气处理、108动力中心</w:t>
            </w:r>
            <w:r>
              <w:rPr>
                <w:rFonts w:hint="eastAsia"/>
                <w:sz w:val="24"/>
                <w:highlight w:val="none"/>
              </w:rPr>
              <w:t>（含蓄冷池、清水池和循环水池）</w:t>
            </w:r>
            <w:r>
              <w:rPr>
                <w:rFonts w:hint="eastAsia"/>
                <w:kern w:val="0"/>
                <w:sz w:val="24"/>
                <w:highlight w:val="none"/>
              </w:rPr>
              <w:t>、113质检楼、114食堂办公综合楼、门房1</w:t>
            </w:r>
            <w:r>
              <w:rPr>
                <w:rFonts w:hint="eastAsia"/>
                <w:sz w:val="24"/>
                <w:highlight w:val="none"/>
              </w:rPr>
              <w:t>/</w:t>
            </w:r>
            <w:r>
              <w:rPr>
                <w:rFonts w:hint="eastAsia"/>
                <w:kern w:val="0"/>
                <w:sz w:val="24"/>
                <w:highlight w:val="none"/>
              </w:rPr>
              <w:t>2、外管架和总图工程（绿化、道路、围墙等）等。包含以上项目的土建工程、桩基础、机电安装工程、绿化、围墙道路等。其中，机电安装包括工艺设备、管道，自动化，通风空调、冷冻蓄冷，电气、弱电、给排水、消防、高压配电、信息化工程等。</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jc w:val="center"/>
        </w:trPr>
        <w:tc>
          <w:tcPr>
            <w:tcW w:w="904" w:type="dxa"/>
            <w:vAlign w:val="center"/>
          </w:tcPr>
          <w:p>
            <w:pPr>
              <w:pStyle w:val="4"/>
              <w:spacing w:after="0"/>
              <w:ind w:firstLine="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4</w:t>
            </w:r>
          </w:p>
        </w:tc>
        <w:tc>
          <w:tcPr>
            <w:tcW w:w="1418" w:type="dxa"/>
            <w:vAlign w:val="center"/>
          </w:tcPr>
          <w:p>
            <w:pPr>
              <w:pStyle w:val="4"/>
              <w:spacing w:after="0"/>
              <w:ind w:firstLine="0"/>
              <w:jc w:val="center"/>
              <w:rPr>
                <w:rFonts w:asciiTheme="majorEastAsia" w:hAnsiTheme="majorEastAsia" w:eastAsiaTheme="majorEastAsia"/>
                <w:sz w:val="24"/>
                <w:szCs w:val="24"/>
              </w:rPr>
            </w:pPr>
            <w:r>
              <w:rPr>
                <w:sz w:val="24"/>
              </w:rPr>
              <w:t>服务范围</w:t>
            </w:r>
          </w:p>
        </w:tc>
        <w:tc>
          <w:tcPr>
            <w:tcW w:w="7422" w:type="dxa"/>
            <w:vAlign w:val="center"/>
          </w:tcPr>
          <w:p>
            <w:pPr>
              <w:widowControl/>
              <w:tabs>
                <w:tab w:val="left" w:pos="824"/>
              </w:tabs>
              <w:snapToGrid w:val="0"/>
              <w:spacing w:line="360" w:lineRule="auto"/>
              <w:jc w:val="left"/>
              <w:rPr>
                <w:kern w:val="0"/>
                <w:sz w:val="24"/>
              </w:rPr>
            </w:pPr>
            <w:r>
              <w:rPr>
                <w:rFonts w:hint="eastAsia"/>
                <w:kern w:val="0"/>
                <w:sz w:val="24"/>
              </w:rPr>
              <w:t>初步设计阶段：项目概算审核，提出项目概算的专业意见，出具概算审核报告书并指导修改；</w:t>
            </w:r>
          </w:p>
          <w:p>
            <w:pPr>
              <w:widowControl/>
              <w:tabs>
                <w:tab w:val="left" w:pos="824"/>
              </w:tabs>
              <w:snapToGrid w:val="0"/>
              <w:spacing w:line="360" w:lineRule="auto"/>
              <w:jc w:val="left"/>
              <w:rPr>
                <w:kern w:val="0"/>
                <w:sz w:val="24"/>
              </w:rPr>
            </w:pPr>
          </w:p>
          <w:p>
            <w:pPr>
              <w:widowControl/>
              <w:tabs>
                <w:tab w:val="left" w:pos="824"/>
              </w:tabs>
              <w:snapToGrid w:val="0"/>
              <w:spacing w:line="360" w:lineRule="auto"/>
              <w:jc w:val="left"/>
              <w:rPr>
                <w:rFonts w:ascii="宋体" w:hAnsi="宋体"/>
                <w:kern w:val="0"/>
                <w:sz w:val="24"/>
              </w:rPr>
            </w:pPr>
            <w:r>
              <w:rPr>
                <w:rFonts w:hint="eastAsia"/>
                <w:kern w:val="0"/>
                <w:sz w:val="24"/>
              </w:rPr>
              <w:t>施工图设计阶段：工程预算审核。其中，部分土建工程（含软基处理工程、北区建筑工程和南区建筑工程）已完成招标，总费用约2.75亿元，不需要工程预算审核；污水处理系统及安装已完成招标，总费用</w:t>
            </w:r>
            <w:r>
              <w:rPr>
                <w:rFonts w:hint="eastAsia" w:ascii="宋体" w:hAnsi="宋体"/>
                <w:kern w:val="0"/>
                <w:sz w:val="24"/>
              </w:rPr>
              <w:t>2178万元，不需要工程预算审核。其它未招标的工程（包括不局限于生产车间安装、动力车间安装、罐区安装、尾气系统安装、管路系统安装</w:t>
            </w:r>
            <w:r>
              <w:rPr>
                <w:rFonts w:hint="eastAsia" w:ascii="宋体" w:hAnsi="宋体"/>
                <w:kern w:val="0"/>
                <w:sz w:val="24"/>
                <w:lang w:eastAsia="zh-CN"/>
              </w:rPr>
              <w:t>、</w:t>
            </w:r>
            <w:r>
              <w:rPr>
                <w:rFonts w:hint="eastAsia" w:ascii="宋体" w:hAnsi="宋体"/>
                <w:kern w:val="0"/>
                <w:sz w:val="24"/>
              </w:rPr>
              <w:t>消防工程、信息化自动化工程等）预算的审核；通用设备设施预算及招标限价建议书。</w:t>
            </w:r>
          </w:p>
          <w:p>
            <w:pPr>
              <w:widowControl/>
              <w:tabs>
                <w:tab w:val="left" w:pos="824"/>
              </w:tabs>
              <w:snapToGrid w:val="0"/>
              <w:spacing w:line="360" w:lineRule="auto"/>
              <w:jc w:val="left"/>
              <w:rPr>
                <w:rFonts w:ascii="宋体" w:hAnsi="宋体"/>
                <w:kern w:val="0"/>
                <w:sz w:val="24"/>
              </w:rPr>
            </w:pPr>
            <w:r>
              <w:rPr>
                <w:rFonts w:ascii="宋体" w:hAnsi="宋体"/>
                <w:kern w:val="0"/>
                <w:sz w:val="24"/>
              </w:rPr>
              <w:t>1. 负责按委托人要求</w:t>
            </w:r>
            <w:r>
              <w:rPr>
                <w:rFonts w:hint="eastAsia" w:ascii="宋体" w:hAnsi="宋体"/>
                <w:kern w:val="0"/>
                <w:sz w:val="24"/>
              </w:rPr>
              <w:t>审核</w:t>
            </w:r>
            <w:r>
              <w:rPr>
                <w:rFonts w:ascii="宋体" w:hAnsi="宋体"/>
                <w:kern w:val="0"/>
                <w:sz w:val="24"/>
              </w:rPr>
              <w:t>各类造价管理文件，进行市场调查、询价或预估。</w:t>
            </w:r>
          </w:p>
          <w:p>
            <w:pPr>
              <w:widowControl/>
              <w:tabs>
                <w:tab w:val="left" w:pos="824"/>
              </w:tabs>
              <w:snapToGrid w:val="0"/>
              <w:spacing w:line="360" w:lineRule="auto"/>
              <w:jc w:val="left"/>
              <w:rPr>
                <w:rFonts w:ascii="宋体" w:hAnsi="宋体"/>
                <w:kern w:val="0"/>
                <w:sz w:val="24"/>
              </w:rPr>
            </w:pPr>
            <w:r>
              <w:rPr>
                <w:rFonts w:ascii="宋体" w:hAnsi="宋体"/>
                <w:kern w:val="0"/>
                <w:sz w:val="24"/>
              </w:rPr>
              <w:t>2.负责根据项目的标段划分方案，包括各标段工程（所有各类标及各标段）承包内容、界面，按委托人要求审核工程量清单及招标预算，对合同方式和可能存在的风险因素及解决办法等提出合理化建议供委托人参考</w:t>
            </w:r>
            <w:r>
              <w:rPr>
                <w:rFonts w:hint="eastAsia" w:ascii="宋体" w:hAnsi="宋体"/>
                <w:kern w:val="0"/>
                <w:sz w:val="24"/>
              </w:rPr>
              <w:t>，</w:t>
            </w:r>
            <w:r>
              <w:rPr>
                <w:rFonts w:ascii="宋体" w:hAnsi="宋体"/>
                <w:kern w:val="0"/>
                <w:sz w:val="24"/>
              </w:rPr>
              <w:t>出具委托人招标前限价的</w:t>
            </w:r>
            <w:r>
              <w:rPr>
                <w:rFonts w:hint="eastAsia" w:ascii="宋体" w:hAnsi="宋体"/>
                <w:kern w:val="0"/>
                <w:sz w:val="24"/>
              </w:rPr>
              <w:t>工程预算审核、单独审核工程量清单及</w:t>
            </w:r>
            <w:r>
              <w:rPr>
                <w:rFonts w:ascii="宋体" w:hAnsi="宋体"/>
                <w:kern w:val="0"/>
                <w:sz w:val="24"/>
              </w:rPr>
              <w:t>审核意见书。</w:t>
            </w:r>
          </w:p>
          <w:p>
            <w:pPr>
              <w:widowControl/>
              <w:tabs>
                <w:tab w:val="left" w:pos="824"/>
              </w:tabs>
              <w:snapToGrid w:val="0"/>
              <w:spacing w:line="360" w:lineRule="auto"/>
              <w:jc w:val="left"/>
              <w:rPr>
                <w:rFonts w:ascii="宋体" w:hAnsi="宋体"/>
                <w:kern w:val="0"/>
                <w:sz w:val="24"/>
              </w:rPr>
            </w:pPr>
            <w:r>
              <w:rPr>
                <w:rFonts w:ascii="宋体" w:hAnsi="宋体"/>
                <w:kern w:val="0"/>
                <w:sz w:val="24"/>
              </w:rPr>
              <w:t>3.负责根据设计单位的图纸及技术规范、用户需求书编制或审核设备、材料询价清单</w:t>
            </w:r>
            <w:r>
              <w:rPr>
                <w:rFonts w:hint="eastAsia" w:ascii="宋体" w:hAnsi="宋体"/>
                <w:kern w:val="0"/>
                <w:sz w:val="24"/>
              </w:rPr>
              <w:t>，</w:t>
            </w:r>
            <w:r>
              <w:rPr>
                <w:rFonts w:ascii="宋体" w:hAnsi="宋体"/>
                <w:kern w:val="0"/>
                <w:sz w:val="24"/>
              </w:rPr>
              <w:t>出具委托人招标前限价的</w:t>
            </w:r>
            <w:r>
              <w:rPr>
                <w:rFonts w:hint="eastAsia" w:ascii="宋体" w:hAnsi="宋体"/>
                <w:kern w:val="0"/>
                <w:sz w:val="24"/>
              </w:rPr>
              <w:t>预算审核、单独审核材料清单及</w:t>
            </w:r>
            <w:r>
              <w:rPr>
                <w:rFonts w:ascii="宋体" w:hAnsi="宋体"/>
                <w:kern w:val="0"/>
                <w:sz w:val="24"/>
              </w:rPr>
              <w:t>审核意见书。</w:t>
            </w:r>
          </w:p>
          <w:p>
            <w:pPr>
              <w:widowControl/>
              <w:tabs>
                <w:tab w:val="left" w:pos="824"/>
              </w:tabs>
              <w:snapToGrid w:val="0"/>
              <w:spacing w:line="360" w:lineRule="auto"/>
              <w:jc w:val="left"/>
              <w:rPr>
                <w:rFonts w:ascii="宋体" w:hAnsi="宋体"/>
                <w:kern w:val="0"/>
                <w:sz w:val="24"/>
              </w:rPr>
            </w:pPr>
            <w:r>
              <w:rPr>
                <w:rFonts w:ascii="宋体" w:hAnsi="宋体"/>
                <w:kern w:val="0"/>
                <w:sz w:val="24"/>
              </w:rPr>
              <w:t>4.负责对投标人的经济标文件或报价书等进行分析和汇总，形成造价咨询报告。</w:t>
            </w:r>
          </w:p>
          <w:p>
            <w:pPr>
              <w:widowControl/>
              <w:tabs>
                <w:tab w:val="left" w:pos="824"/>
              </w:tabs>
              <w:snapToGrid w:val="0"/>
              <w:spacing w:line="360" w:lineRule="auto"/>
              <w:jc w:val="left"/>
              <w:rPr>
                <w:rFonts w:hint="default" w:ascii="宋体" w:hAnsi="宋体" w:eastAsia="宋体"/>
                <w:kern w:val="0"/>
                <w:sz w:val="24"/>
                <w:lang w:val="en-US" w:eastAsia="zh-CN"/>
              </w:rPr>
            </w:pPr>
            <w:r>
              <w:rPr>
                <w:rFonts w:hint="eastAsia" w:ascii="宋体" w:hAnsi="宋体"/>
                <w:kern w:val="0"/>
                <w:sz w:val="24"/>
                <w:lang w:val="en-US" w:eastAsia="zh-CN"/>
              </w:rPr>
              <w:t>5.</w:t>
            </w:r>
            <w:r>
              <w:rPr>
                <w:rFonts w:hint="default" w:ascii="宋体" w:hAnsi="宋体"/>
                <w:kern w:val="0"/>
                <w:sz w:val="24"/>
                <w:szCs w:val="22"/>
                <w:lang w:val="en-US" w:eastAsia="zh-CN"/>
              </w:rPr>
              <w:t>参加</w:t>
            </w:r>
            <w:r>
              <w:rPr>
                <w:rFonts w:ascii="宋体" w:hAnsi="宋体"/>
                <w:kern w:val="0"/>
                <w:sz w:val="24"/>
                <w:szCs w:val="22"/>
              </w:rPr>
              <w:t>工程图纸会审、变更论证等专题会。</w:t>
            </w:r>
          </w:p>
          <w:p>
            <w:pPr>
              <w:widowControl/>
              <w:tabs>
                <w:tab w:val="left" w:pos="824"/>
              </w:tabs>
              <w:snapToGrid w:val="0"/>
              <w:spacing w:line="360" w:lineRule="auto"/>
              <w:jc w:val="left"/>
              <w:rPr>
                <w:rFonts w:ascii="宋体" w:hAnsi="宋体"/>
                <w:kern w:val="0"/>
                <w:sz w:val="24"/>
              </w:rPr>
            </w:pPr>
          </w:p>
          <w:p>
            <w:pPr>
              <w:widowControl/>
              <w:tabs>
                <w:tab w:val="left" w:pos="824"/>
              </w:tabs>
              <w:snapToGrid w:val="0"/>
              <w:spacing w:line="360" w:lineRule="auto"/>
              <w:jc w:val="left"/>
              <w:rPr>
                <w:rFonts w:ascii="宋体" w:hAnsi="宋体"/>
                <w:kern w:val="0"/>
                <w:sz w:val="24"/>
              </w:rPr>
            </w:pPr>
            <w:r>
              <w:rPr>
                <w:rFonts w:hint="eastAsia" w:ascii="宋体" w:hAnsi="宋体"/>
                <w:kern w:val="0"/>
                <w:sz w:val="24"/>
              </w:rPr>
              <w:t>施工阶段：施工期间的变更造价审核；</w:t>
            </w:r>
          </w:p>
          <w:p>
            <w:pPr>
              <w:widowControl/>
              <w:tabs>
                <w:tab w:val="left" w:pos="824"/>
              </w:tabs>
              <w:snapToGrid w:val="0"/>
              <w:spacing w:line="360" w:lineRule="auto"/>
              <w:jc w:val="left"/>
              <w:rPr>
                <w:rFonts w:ascii="宋体" w:hAnsi="宋体"/>
                <w:kern w:val="0"/>
                <w:sz w:val="24"/>
              </w:rPr>
            </w:pPr>
            <w:r>
              <w:rPr>
                <w:rFonts w:ascii="宋体" w:hAnsi="宋体"/>
                <w:kern w:val="0"/>
                <w:sz w:val="24"/>
              </w:rPr>
              <w:t>1．负责按委托人要求</w:t>
            </w:r>
            <w:r>
              <w:rPr>
                <w:rFonts w:hint="eastAsia" w:ascii="宋体" w:hAnsi="宋体"/>
                <w:kern w:val="0"/>
                <w:sz w:val="24"/>
              </w:rPr>
              <w:t>审核</w:t>
            </w:r>
            <w:r>
              <w:rPr>
                <w:rFonts w:ascii="宋体" w:hAnsi="宋体"/>
                <w:kern w:val="0"/>
                <w:sz w:val="24"/>
              </w:rPr>
              <w:t>各类造价管理文件，包括工程变更程序、工程款支付程序等。</w:t>
            </w:r>
          </w:p>
          <w:p>
            <w:pPr>
              <w:widowControl/>
              <w:tabs>
                <w:tab w:val="left" w:pos="824"/>
              </w:tabs>
              <w:snapToGrid w:val="0"/>
              <w:spacing w:line="360" w:lineRule="auto"/>
              <w:jc w:val="left"/>
              <w:rPr>
                <w:rFonts w:ascii="宋体" w:hAnsi="宋体"/>
                <w:kern w:val="0"/>
                <w:sz w:val="24"/>
              </w:rPr>
            </w:pPr>
            <w:r>
              <w:rPr>
                <w:rFonts w:ascii="宋体" w:hAnsi="宋体"/>
                <w:kern w:val="0"/>
                <w:sz w:val="24"/>
              </w:rPr>
              <w:t>2.负责施工过程造价控制（含</w:t>
            </w:r>
            <w:r>
              <w:rPr>
                <w:rFonts w:hint="eastAsia" w:ascii="宋体" w:hAnsi="宋体"/>
                <w:kern w:val="0"/>
                <w:sz w:val="24"/>
              </w:rPr>
              <w:t>审核</w:t>
            </w:r>
            <w:r>
              <w:rPr>
                <w:rFonts w:ascii="宋体" w:hAnsi="宋体"/>
                <w:kern w:val="0"/>
                <w:sz w:val="24"/>
              </w:rPr>
              <w:t>方案及实施计划），初步审核工程量与进度款。</w:t>
            </w:r>
          </w:p>
          <w:p>
            <w:pPr>
              <w:widowControl/>
              <w:tabs>
                <w:tab w:val="left" w:pos="824"/>
              </w:tabs>
              <w:snapToGrid w:val="0"/>
              <w:spacing w:line="360" w:lineRule="auto"/>
              <w:jc w:val="left"/>
              <w:rPr>
                <w:rFonts w:ascii="宋体" w:hAnsi="宋体"/>
                <w:kern w:val="0"/>
                <w:sz w:val="24"/>
              </w:rPr>
            </w:pPr>
            <w:r>
              <w:rPr>
                <w:rFonts w:ascii="宋体" w:hAnsi="宋体"/>
                <w:kern w:val="0"/>
                <w:sz w:val="24"/>
              </w:rPr>
              <w:t>3. 负责协助委托人的合同索赔处理，参加合同变更谈判，负责处理合同变更，维护委托人的合法权益。</w:t>
            </w:r>
          </w:p>
          <w:p>
            <w:pPr>
              <w:widowControl/>
              <w:tabs>
                <w:tab w:val="left" w:pos="824"/>
              </w:tabs>
              <w:snapToGrid w:val="0"/>
              <w:spacing w:line="360" w:lineRule="auto"/>
              <w:jc w:val="left"/>
              <w:rPr>
                <w:rFonts w:ascii="宋体" w:hAnsi="宋体"/>
                <w:kern w:val="0"/>
                <w:sz w:val="24"/>
              </w:rPr>
            </w:pPr>
            <w:r>
              <w:rPr>
                <w:rFonts w:ascii="宋体" w:hAnsi="宋体"/>
                <w:kern w:val="0"/>
                <w:sz w:val="24"/>
              </w:rPr>
              <w:t>4.负责建立支付台账、工程变更管理台账、动态投资台账。</w:t>
            </w:r>
          </w:p>
          <w:p>
            <w:pPr>
              <w:widowControl/>
              <w:tabs>
                <w:tab w:val="left" w:pos="824"/>
              </w:tabs>
              <w:snapToGrid w:val="0"/>
              <w:spacing w:line="360" w:lineRule="auto"/>
              <w:jc w:val="left"/>
              <w:rPr>
                <w:rFonts w:ascii="宋体" w:hAnsi="宋体"/>
                <w:kern w:val="0"/>
                <w:sz w:val="24"/>
              </w:rPr>
            </w:pPr>
            <w:r>
              <w:rPr>
                <w:rFonts w:ascii="宋体" w:hAnsi="宋体"/>
                <w:kern w:val="0"/>
                <w:sz w:val="24"/>
              </w:rPr>
              <w:t>5</w:t>
            </w:r>
            <w:r>
              <w:rPr>
                <w:rFonts w:hint="eastAsia" w:ascii="宋体" w:hAnsi="宋体"/>
                <w:kern w:val="0"/>
                <w:sz w:val="24"/>
                <w:lang w:eastAsia="zh-CN"/>
              </w:rPr>
              <w:t>）</w:t>
            </w:r>
            <w:r>
              <w:rPr>
                <w:rFonts w:ascii="宋体" w:hAnsi="宋体"/>
                <w:kern w:val="0"/>
                <w:sz w:val="24"/>
              </w:rPr>
              <w:t>负责定期</w:t>
            </w:r>
            <w:r>
              <w:rPr>
                <w:rFonts w:hint="eastAsia" w:ascii="宋体" w:hAnsi="宋体"/>
                <w:kern w:val="0"/>
                <w:sz w:val="24"/>
                <w:lang w:val="en-US" w:eastAsia="zh-CN"/>
              </w:rPr>
              <w:t>每月</w:t>
            </w:r>
            <w:r>
              <w:rPr>
                <w:rFonts w:ascii="宋体" w:hAnsi="宋体"/>
                <w:kern w:val="0"/>
                <w:sz w:val="24"/>
              </w:rPr>
              <w:t>召开造价控制会议，集中会审现场签证、工程变更的工程量和造价预算，确认变更价款。</w:t>
            </w:r>
          </w:p>
          <w:p>
            <w:pPr>
              <w:widowControl/>
              <w:tabs>
                <w:tab w:val="left" w:pos="824"/>
              </w:tabs>
              <w:snapToGrid w:val="0"/>
              <w:spacing w:line="360" w:lineRule="auto"/>
              <w:jc w:val="left"/>
              <w:rPr>
                <w:rFonts w:ascii="宋体" w:hAnsi="宋体"/>
                <w:kern w:val="0"/>
                <w:sz w:val="24"/>
              </w:rPr>
            </w:pPr>
            <w:r>
              <w:rPr>
                <w:rFonts w:ascii="宋体" w:hAnsi="宋体"/>
                <w:kern w:val="0"/>
                <w:sz w:val="24"/>
              </w:rPr>
              <w:t>6</w:t>
            </w:r>
            <w:r>
              <w:rPr>
                <w:rFonts w:hint="eastAsia" w:ascii="宋体" w:hAnsi="宋体"/>
                <w:kern w:val="0"/>
                <w:sz w:val="24"/>
                <w:lang w:eastAsia="zh-CN"/>
              </w:rPr>
              <w:t>）</w:t>
            </w:r>
            <w:r>
              <w:rPr>
                <w:rFonts w:ascii="宋体" w:hAnsi="宋体"/>
                <w:kern w:val="0"/>
                <w:sz w:val="24"/>
              </w:rPr>
              <w:t>负责</w:t>
            </w:r>
            <w:r>
              <w:rPr>
                <w:rFonts w:hint="eastAsia" w:ascii="宋体" w:hAnsi="宋体"/>
                <w:kern w:val="0"/>
                <w:sz w:val="24"/>
                <w:lang w:val="en-US" w:eastAsia="zh-CN"/>
              </w:rPr>
              <w:t>按</w:t>
            </w:r>
            <w:r>
              <w:rPr>
                <w:rFonts w:ascii="宋体" w:hAnsi="宋体"/>
                <w:kern w:val="0"/>
                <w:sz w:val="24"/>
              </w:rPr>
              <w:t>委托人</w:t>
            </w:r>
            <w:r>
              <w:rPr>
                <w:rFonts w:hint="eastAsia" w:ascii="宋体" w:hAnsi="宋体"/>
                <w:kern w:val="0"/>
                <w:sz w:val="24"/>
                <w:lang w:val="en-US" w:eastAsia="zh-CN"/>
              </w:rPr>
              <w:t>要求</w:t>
            </w:r>
            <w:r>
              <w:rPr>
                <w:rFonts w:ascii="宋体" w:hAnsi="宋体"/>
                <w:kern w:val="0"/>
                <w:sz w:val="24"/>
              </w:rPr>
              <w:t>收集和整理有关设备材料的市场价格动态信息，对施工方案、材料选用提供成本控制建议。</w:t>
            </w:r>
          </w:p>
          <w:p>
            <w:pPr>
              <w:widowControl/>
              <w:tabs>
                <w:tab w:val="left" w:pos="824"/>
              </w:tabs>
              <w:snapToGrid w:val="0"/>
              <w:spacing w:line="360" w:lineRule="auto"/>
              <w:jc w:val="left"/>
              <w:rPr>
                <w:rFonts w:ascii="宋体" w:hAnsi="宋体"/>
                <w:kern w:val="0"/>
                <w:sz w:val="24"/>
              </w:rPr>
            </w:pPr>
          </w:p>
          <w:p>
            <w:pPr>
              <w:widowControl/>
              <w:tabs>
                <w:tab w:val="left" w:pos="824"/>
              </w:tabs>
              <w:snapToGrid w:val="0"/>
              <w:spacing w:line="360" w:lineRule="auto"/>
              <w:jc w:val="left"/>
              <w:rPr>
                <w:rFonts w:ascii="宋体" w:hAnsi="宋体"/>
                <w:kern w:val="0"/>
                <w:sz w:val="24"/>
              </w:rPr>
            </w:pPr>
            <w:r>
              <w:rPr>
                <w:rFonts w:hint="eastAsia" w:ascii="宋体" w:hAnsi="宋体"/>
                <w:kern w:val="0"/>
                <w:sz w:val="24"/>
              </w:rPr>
              <w:t>竣工阶段：工程结算书审核。</w:t>
            </w:r>
          </w:p>
          <w:p>
            <w:pPr>
              <w:widowControl/>
              <w:tabs>
                <w:tab w:val="left" w:pos="824"/>
              </w:tabs>
              <w:snapToGrid w:val="0"/>
              <w:spacing w:line="360" w:lineRule="auto"/>
              <w:jc w:val="left"/>
              <w:rPr>
                <w:rFonts w:ascii="宋体" w:hAnsi="宋体"/>
                <w:kern w:val="0"/>
                <w:sz w:val="24"/>
              </w:rPr>
            </w:pPr>
            <w:r>
              <w:rPr>
                <w:rFonts w:ascii="宋体" w:hAnsi="宋体"/>
                <w:kern w:val="0"/>
                <w:sz w:val="24"/>
              </w:rPr>
              <w:t>1.负责按委托人要求</w:t>
            </w:r>
            <w:r>
              <w:rPr>
                <w:rFonts w:hint="eastAsia" w:ascii="宋体" w:hAnsi="宋体"/>
                <w:kern w:val="0"/>
                <w:sz w:val="24"/>
              </w:rPr>
              <w:t>审核</w:t>
            </w:r>
            <w:r>
              <w:rPr>
                <w:rFonts w:ascii="宋体" w:hAnsi="宋体"/>
                <w:kern w:val="0"/>
                <w:sz w:val="24"/>
              </w:rPr>
              <w:t>结算管理文件</w:t>
            </w:r>
            <w:r>
              <w:rPr>
                <w:rFonts w:hint="eastAsia" w:ascii="宋体" w:hAnsi="宋体"/>
                <w:kern w:val="0"/>
                <w:sz w:val="24"/>
              </w:rPr>
              <w:t>（工程结算书由工程施工单位编制）</w:t>
            </w:r>
            <w:r>
              <w:rPr>
                <w:rFonts w:ascii="宋体" w:hAnsi="宋体"/>
                <w:kern w:val="0"/>
                <w:sz w:val="24"/>
              </w:rPr>
              <w:t>，配合委托人开展过程结算。</w:t>
            </w:r>
          </w:p>
          <w:p>
            <w:pPr>
              <w:widowControl/>
              <w:tabs>
                <w:tab w:val="left" w:pos="824"/>
              </w:tabs>
              <w:snapToGrid w:val="0"/>
              <w:spacing w:line="360" w:lineRule="auto"/>
              <w:jc w:val="left"/>
              <w:rPr>
                <w:rFonts w:ascii="宋体" w:hAnsi="宋体"/>
                <w:kern w:val="0"/>
                <w:sz w:val="24"/>
              </w:rPr>
            </w:pPr>
            <w:r>
              <w:rPr>
                <w:rFonts w:ascii="宋体" w:hAnsi="宋体"/>
                <w:kern w:val="0"/>
                <w:sz w:val="24"/>
              </w:rPr>
              <w:t>2.负责收集和整理结算依据资料，收集有关工程费用方面的签证资料，核对单据并及时归档。</w:t>
            </w:r>
          </w:p>
          <w:p>
            <w:pPr>
              <w:widowControl/>
              <w:tabs>
                <w:tab w:val="left" w:pos="824"/>
              </w:tabs>
              <w:snapToGrid w:val="0"/>
              <w:spacing w:line="360" w:lineRule="auto"/>
              <w:jc w:val="left"/>
              <w:rPr>
                <w:rFonts w:ascii="宋体" w:hAnsi="宋体"/>
                <w:kern w:val="0"/>
                <w:sz w:val="24"/>
              </w:rPr>
            </w:pPr>
            <w:r>
              <w:rPr>
                <w:rFonts w:ascii="宋体" w:hAnsi="宋体"/>
                <w:kern w:val="0"/>
                <w:sz w:val="24"/>
              </w:rPr>
              <w:t>3. 负责工程结算审核工作，提交合同管理及执行情况的专题报告。</w:t>
            </w:r>
          </w:p>
          <w:p>
            <w:pPr>
              <w:widowControl/>
              <w:tabs>
                <w:tab w:val="left" w:pos="824"/>
              </w:tabs>
              <w:snapToGrid w:val="0"/>
              <w:spacing w:line="360" w:lineRule="auto"/>
              <w:jc w:val="left"/>
              <w:rPr>
                <w:rFonts w:ascii="宋体" w:hAnsi="宋体"/>
                <w:kern w:val="0"/>
                <w:sz w:val="24"/>
              </w:rPr>
            </w:pPr>
            <w:r>
              <w:rPr>
                <w:rFonts w:ascii="宋体" w:hAnsi="宋体"/>
                <w:kern w:val="0"/>
                <w:sz w:val="24"/>
              </w:rPr>
              <w:t>4. 审核其他费用，出具审价报告</w:t>
            </w:r>
            <w:r>
              <w:rPr>
                <w:rFonts w:hint="eastAsia" w:ascii="宋体" w:hAnsi="宋体"/>
                <w:kern w:val="0"/>
                <w:sz w:val="24"/>
              </w:rPr>
              <w:t>。</w:t>
            </w:r>
          </w:p>
          <w:p>
            <w:pPr>
              <w:widowControl/>
              <w:tabs>
                <w:tab w:val="left" w:pos="824"/>
              </w:tabs>
              <w:snapToGrid w:val="0"/>
              <w:spacing w:line="360" w:lineRule="auto"/>
              <w:jc w:val="left"/>
              <w:rPr>
                <w:kern w:val="0"/>
                <w:sz w:val="24"/>
              </w:rPr>
            </w:pPr>
            <w:r>
              <w:rPr>
                <w:rFonts w:hint="eastAsia" w:ascii="宋体" w:hAnsi="宋体"/>
                <w:kern w:val="0"/>
                <w:sz w:val="24"/>
              </w:rPr>
              <w:t>5.审核并出具整体项目工程结算审核、单独审核工程量及</w:t>
            </w:r>
            <w:r>
              <w:rPr>
                <w:rFonts w:ascii="宋体" w:hAnsi="宋体"/>
                <w:kern w:val="0"/>
                <w:sz w:val="24"/>
              </w:rPr>
              <w:t>审核</w:t>
            </w:r>
            <w:r>
              <w:rPr>
                <w:rFonts w:hint="eastAsia" w:ascii="宋体" w:hAnsi="宋体"/>
                <w:kern w:val="0"/>
                <w:sz w:val="24"/>
              </w:rPr>
              <w:t>工程结算报告书。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jc w:val="center"/>
        </w:trPr>
        <w:tc>
          <w:tcPr>
            <w:tcW w:w="904" w:type="dxa"/>
            <w:vAlign w:val="center"/>
          </w:tcPr>
          <w:p>
            <w:pPr>
              <w:pStyle w:val="4"/>
              <w:spacing w:after="0"/>
              <w:ind w:firstLine="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5</w:t>
            </w:r>
          </w:p>
        </w:tc>
        <w:tc>
          <w:tcPr>
            <w:tcW w:w="1418" w:type="dxa"/>
            <w:vAlign w:val="center"/>
          </w:tcPr>
          <w:p>
            <w:pPr>
              <w:pStyle w:val="4"/>
              <w:spacing w:after="0"/>
              <w:ind w:firstLine="0"/>
              <w:jc w:val="center"/>
              <w:rPr>
                <w:rFonts w:asciiTheme="majorEastAsia" w:hAnsiTheme="majorEastAsia" w:eastAsiaTheme="majorEastAsia"/>
                <w:sz w:val="24"/>
                <w:szCs w:val="24"/>
              </w:rPr>
            </w:pPr>
            <w:r>
              <w:rPr>
                <w:sz w:val="24"/>
              </w:rPr>
              <w:t>提交造价审核成果时间</w:t>
            </w:r>
          </w:p>
        </w:tc>
        <w:tc>
          <w:tcPr>
            <w:tcW w:w="7422" w:type="dxa"/>
            <w:vAlign w:val="center"/>
          </w:tcPr>
          <w:p>
            <w:pPr>
              <w:spacing w:line="360" w:lineRule="auto"/>
              <w:rPr>
                <w:sz w:val="24"/>
              </w:rPr>
            </w:pPr>
            <w:r>
              <w:rPr>
                <w:rFonts w:hint="eastAsia"/>
                <w:sz w:val="24"/>
              </w:rPr>
              <w:t>1.</w:t>
            </w:r>
            <w:r>
              <w:rPr>
                <w:sz w:val="24"/>
              </w:rPr>
              <w:t>自收到招标人提供的</w:t>
            </w:r>
            <w:r>
              <w:rPr>
                <w:sz w:val="24"/>
                <w:szCs w:val="21"/>
              </w:rPr>
              <w:t>检测、监测、外水、外电、燃气、电梯、设备采购及其他专项</w:t>
            </w:r>
            <w:r>
              <w:rPr>
                <w:sz w:val="24"/>
              </w:rPr>
              <w:t>的预算后15</w:t>
            </w:r>
            <w:r>
              <w:rPr>
                <w:rFonts w:hint="eastAsia"/>
                <w:sz w:val="24"/>
              </w:rPr>
              <w:t>日历</w:t>
            </w:r>
            <w:r>
              <w:rPr>
                <w:sz w:val="24"/>
              </w:rPr>
              <w:t>日内预算审核，并出具审核报告；</w:t>
            </w:r>
          </w:p>
          <w:p>
            <w:pPr>
              <w:spacing w:line="360" w:lineRule="auto"/>
              <w:rPr>
                <w:sz w:val="24"/>
              </w:rPr>
            </w:pPr>
            <w:r>
              <w:rPr>
                <w:rFonts w:hint="eastAsia"/>
                <w:sz w:val="24"/>
              </w:rPr>
              <w:t>2.</w:t>
            </w:r>
            <w:r>
              <w:rPr>
                <w:sz w:val="24"/>
              </w:rPr>
              <w:t>初步设计完成并提交概算书后</w:t>
            </w:r>
            <w:r>
              <w:rPr>
                <w:rFonts w:hint="eastAsia"/>
                <w:sz w:val="24"/>
              </w:rPr>
              <w:t>15日历</w:t>
            </w:r>
            <w:r>
              <w:rPr>
                <w:sz w:val="24"/>
              </w:rPr>
              <w:t>日内，完成概算审核，提出工程项目的各专业工程和各阶段造价限额指标</w:t>
            </w:r>
            <w:r>
              <w:rPr>
                <w:rFonts w:hint="eastAsia"/>
                <w:sz w:val="24"/>
              </w:rPr>
              <w:t>，</w:t>
            </w:r>
            <w:r>
              <w:rPr>
                <w:sz w:val="24"/>
              </w:rPr>
              <w:t>完成</w:t>
            </w:r>
            <w:r>
              <w:rPr>
                <w:rFonts w:hint="eastAsia"/>
                <w:sz w:val="24"/>
              </w:rPr>
              <w:t>概算</w:t>
            </w:r>
            <w:r>
              <w:rPr>
                <w:sz w:val="24"/>
              </w:rPr>
              <w:t>审核报告；</w:t>
            </w:r>
          </w:p>
          <w:p>
            <w:pPr>
              <w:spacing w:line="360" w:lineRule="auto"/>
              <w:rPr>
                <w:sz w:val="24"/>
              </w:rPr>
            </w:pPr>
            <w:r>
              <w:rPr>
                <w:rFonts w:hint="eastAsia"/>
                <w:sz w:val="24"/>
              </w:rPr>
              <w:t>3.</w:t>
            </w:r>
            <w:r>
              <w:rPr>
                <w:sz w:val="24"/>
              </w:rPr>
              <w:t>施工图和预算书资料齐备后</w:t>
            </w:r>
            <w:r>
              <w:rPr>
                <w:rFonts w:hint="eastAsia"/>
                <w:sz w:val="24"/>
              </w:rPr>
              <w:t>15日历</w:t>
            </w:r>
            <w:r>
              <w:rPr>
                <w:sz w:val="24"/>
              </w:rPr>
              <w:t xml:space="preserve">日内，完成预算审核报告； </w:t>
            </w:r>
          </w:p>
          <w:p>
            <w:pPr>
              <w:spacing w:line="360" w:lineRule="auto"/>
              <w:rPr>
                <w:sz w:val="24"/>
              </w:rPr>
            </w:pPr>
            <w:r>
              <w:rPr>
                <w:rFonts w:hint="eastAsia"/>
                <w:sz w:val="24"/>
              </w:rPr>
              <w:t>4.</w:t>
            </w:r>
            <w:r>
              <w:rPr>
                <w:sz w:val="24"/>
              </w:rPr>
              <w:t>进度款支付审核</w:t>
            </w:r>
            <w:r>
              <w:rPr>
                <w:rFonts w:hint="eastAsia"/>
                <w:sz w:val="24"/>
              </w:rPr>
              <w:t>：</w:t>
            </w:r>
            <w:r>
              <w:rPr>
                <w:sz w:val="24"/>
              </w:rPr>
              <w:t>投标人成本人员每月按照合同和招标人的要求核对项目范围内所有工程的进度款(工程量需要在现场同监理,招标人工程师一起核对)的支付，并将结果报招标人项目成本人员审核。15</w:t>
            </w:r>
            <w:r>
              <w:rPr>
                <w:rFonts w:hint="eastAsia"/>
                <w:sz w:val="24"/>
              </w:rPr>
              <w:t>日历</w:t>
            </w:r>
            <w:r>
              <w:rPr>
                <w:sz w:val="24"/>
              </w:rPr>
              <w:t>日内出具月度进度款审核报告。</w:t>
            </w:r>
          </w:p>
          <w:p>
            <w:pPr>
              <w:spacing w:line="360" w:lineRule="auto"/>
              <w:rPr>
                <w:sz w:val="24"/>
              </w:rPr>
            </w:pPr>
            <w:r>
              <w:rPr>
                <w:rFonts w:hint="eastAsia"/>
                <w:sz w:val="24"/>
              </w:rPr>
              <w:t>5.</w:t>
            </w:r>
            <w:r>
              <w:rPr>
                <w:sz w:val="24"/>
              </w:rPr>
              <w:t>工程变更及签证时限要求</w:t>
            </w:r>
          </w:p>
          <w:p>
            <w:pPr>
              <w:spacing w:line="360" w:lineRule="auto"/>
              <w:rPr>
                <w:sz w:val="24"/>
              </w:rPr>
            </w:pPr>
            <w:r>
              <w:rPr>
                <w:sz w:val="24"/>
              </w:rPr>
              <w:t>①送审造价100万元以下(含100万元)的：工程变更、签证等为5个</w:t>
            </w:r>
            <w:r>
              <w:rPr>
                <w:rFonts w:hint="eastAsia"/>
                <w:sz w:val="24"/>
              </w:rPr>
              <w:t>日历</w:t>
            </w:r>
            <w:r>
              <w:rPr>
                <w:sz w:val="24"/>
              </w:rPr>
              <w:t>日内提交成果文件，10个</w:t>
            </w:r>
            <w:r>
              <w:rPr>
                <w:rFonts w:hint="eastAsia"/>
                <w:sz w:val="24"/>
              </w:rPr>
              <w:t>日历日</w:t>
            </w:r>
            <w:r>
              <w:rPr>
                <w:sz w:val="24"/>
              </w:rPr>
              <w:t>内审结；</w:t>
            </w:r>
          </w:p>
          <w:p>
            <w:pPr>
              <w:spacing w:line="360" w:lineRule="auto"/>
              <w:rPr>
                <w:sz w:val="24"/>
              </w:rPr>
            </w:pPr>
            <w:r>
              <w:rPr>
                <w:sz w:val="24"/>
              </w:rPr>
              <w:t>②送审造价100万元至500万元(含500万元)的：工程变更、签证等为7个</w:t>
            </w:r>
            <w:r>
              <w:rPr>
                <w:rFonts w:hint="eastAsia"/>
                <w:sz w:val="24"/>
              </w:rPr>
              <w:t>日历日</w:t>
            </w:r>
            <w:r>
              <w:rPr>
                <w:sz w:val="24"/>
              </w:rPr>
              <w:t>内提交成果文件，12个</w:t>
            </w:r>
            <w:r>
              <w:rPr>
                <w:rFonts w:hint="eastAsia"/>
                <w:sz w:val="24"/>
              </w:rPr>
              <w:t>日历日</w:t>
            </w:r>
            <w:r>
              <w:rPr>
                <w:sz w:val="24"/>
              </w:rPr>
              <w:t>内审结；</w:t>
            </w:r>
          </w:p>
          <w:p>
            <w:pPr>
              <w:spacing w:line="360" w:lineRule="auto"/>
              <w:rPr>
                <w:sz w:val="24"/>
              </w:rPr>
            </w:pPr>
            <w:r>
              <w:rPr>
                <w:sz w:val="24"/>
              </w:rPr>
              <w:t>③送审造价500万以上的：工程变更、签证等为10个</w:t>
            </w:r>
            <w:r>
              <w:rPr>
                <w:rFonts w:hint="eastAsia"/>
                <w:sz w:val="24"/>
              </w:rPr>
              <w:t>日历日</w:t>
            </w:r>
            <w:r>
              <w:rPr>
                <w:sz w:val="24"/>
              </w:rPr>
              <w:t>内提交成果文件，15个</w:t>
            </w:r>
            <w:r>
              <w:rPr>
                <w:rFonts w:hint="eastAsia"/>
                <w:sz w:val="24"/>
              </w:rPr>
              <w:t>日历日</w:t>
            </w:r>
            <w:r>
              <w:rPr>
                <w:sz w:val="24"/>
              </w:rPr>
              <w:t>内审结。</w:t>
            </w:r>
          </w:p>
          <w:p>
            <w:pPr>
              <w:spacing w:line="360" w:lineRule="auto"/>
              <w:rPr>
                <w:sz w:val="24"/>
              </w:rPr>
            </w:pPr>
            <w:r>
              <w:rPr>
                <w:rFonts w:hint="eastAsia"/>
                <w:sz w:val="24"/>
              </w:rPr>
              <w:t>6.</w:t>
            </w:r>
            <w:r>
              <w:rPr>
                <w:sz w:val="24"/>
              </w:rPr>
              <w:t>结算时限要求：</w:t>
            </w:r>
          </w:p>
          <w:tbl>
            <w:tblPr>
              <w:tblStyle w:val="26"/>
              <w:tblW w:w="72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0"/>
              <w:gridCol w:w="247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2230" w:type="dxa"/>
                </w:tcPr>
                <w:p>
                  <w:pPr>
                    <w:widowControl/>
                    <w:jc w:val="center"/>
                    <w:rPr>
                      <w:kern w:val="0"/>
                      <w:szCs w:val="21"/>
                    </w:rPr>
                  </w:pPr>
                  <w:r>
                    <w:rPr>
                      <w:kern w:val="0"/>
                      <w:szCs w:val="21"/>
                    </w:rPr>
                    <w:t>工程竣工结算报告金额</w:t>
                  </w:r>
                </w:p>
              </w:tc>
              <w:tc>
                <w:tcPr>
                  <w:tcW w:w="2476" w:type="dxa"/>
                </w:tcPr>
                <w:p>
                  <w:pPr>
                    <w:widowControl/>
                    <w:jc w:val="center"/>
                    <w:rPr>
                      <w:kern w:val="0"/>
                      <w:szCs w:val="21"/>
                    </w:rPr>
                  </w:pPr>
                  <w:r>
                    <w:rPr>
                      <w:kern w:val="0"/>
                      <w:szCs w:val="21"/>
                    </w:rPr>
                    <w:t>资料审查时间</w:t>
                  </w:r>
                </w:p>
              </w:tc>
              <w:tc>
                <w:tcPr>
                  <w:tcW w:w="2552" w:type="dxa"/>
                </w:tcPr>
                <w:p>
                  <w:pPr>
                    <w:jc w:val="center"/>
                    <w:rPr>
                      <w:kern w:val="0"/>
                      <w:szCs w:val="21"/>
                    </w:rPr>
                  </w:pPr>
                  <w:r>
                    <w:rPr>
                      <w:kern w:val="0"/>
                      <w:szCs w:val="21"/>
                    </w:rPr>
                    <w:t>结算审查时间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0" w:type="dxa"/>
                </w:tcPr>
                <w:p>
                  <w:pPr>
                    <w:widowControl/>
                    <w:jc w:val="left"/>
                    <w:rPr>
                      <w:kern w:val="0"/>
                      <w:szCs w:val="21"/>
                    </w:rPr>
                  </w:pPr>
                  <w:r>
                    <w:rPr>
                      <w:kern w:val="0"/>
                      <w:szCs w:val="21"/>
                    </w:rPr>
                    <w:t>1000万元以下</w:t>
                  </w:r>
                </w:p>
              </w:tc>
              <w:tc>
                <w:tcPr>
                  <w:tcW w:w="2476" w:type="dxa"/>
                </w:tcPr>
                <w:p>
                  <w:pPr>
                    <w:widowControl/>
                    <w:jc w:val="center"/>
                    <w:rPr>
                      <w:kern w:val="0"/>
                      <w:szCs w:val="21"/>
                    </w:rPr>
                  </w:pPr>
                  <w:r>
                    <w:rPr>
                      <w:kern w:val="0"/>
                      <w:szCs w:val="21"/>
                    </w:rPr>
                    <w:t>接到竣工结算资料起5天</w:t>
                  </w:r>
                </w:p>
              </w:tc>
              <w:tc>
                <w:tcPr>
                  <w:tcW w:w="2552" w:type="dxa"/>
                </w:tcPr>
                <w:p>
                  <w:pPr>
                    <w:widowControl/>
                    <w:jc w:val="center"/>
                    <w:rPr>
                      <w:kern w:val="0"/>
                      <w:szCs w:val="21"/>
                    </w:rPr>
                  </w:pPr>
                  <w:r>
                    <w:rPr>
                      <w:kern w:val="0"/>
                      <w:szCs w:val="21"/>
                    </w:rPr>
                    <w:t>从接收到竣工结算齐备资料之日起15天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0" w:type="dxa"/>
                </w:tcPr>
                <w:p>
                  <w:pPr>
                    <w:widowControl/>
                    <w:jc w:val="left"/>
                    <w:rPr>
                      <w:kern w:val="0"/>
                      <w:szCs w:val="21"/>
                    </w:rPr>
                  </w:pPr>
                  <w:r>
                    <w:rPr>
                      <w:kern w:val="0"/>
                      <w:szCs w:val="21"/>
                    </w:rPr>
                    <w:t>1000万元－5000万元</w:t>
                  </w:r>
                </w:p>
              </w:tc>
              <w:tc>
                <w:tcPr>
                  <w:tcW w:w="2476" w:type="dxa"/>
                </w:tcPr>
                <w:p>
                  <w:pPr>
                    <w:widowControl/>
                    <w:jc w:val="center"/>
                    <w:rPr>
                      <w:kern w:val="0"/>
                      <w:szCs w:val="21"/>
                    </w:rPr>
                  </w:pPr>
                  <w:r>
                    <w:rPr>
                      <w:kern w:val="0"/>
                      <w:szCs w:val="21"/>
                    </w:rPr>
                    <w:t>接到竣工结算资料起15天</w:t>
                  </w:r>
                </w:p>
              </w:tc>
              <w:tc>
                <w:tcPr>
                  <w:tcW w:w="2552" w:type="dxa"/>
                </w:tcPr>
                <w:p>
                  <w:pPr>
                    <w:widowControl/>
                    <w:jc w:val="center"/>
                    <w:rPr>
                      <w:kern w:val="0"/>
                      <w:szCs w:val="21"/>
                    </w:rPr>
                  </w:pPr>
                  <w:r>
                    <w:rPr>
                      <w:kern w:val="0"/>
                      <w:szCs w:val="21"/>
                    </w:rPr>
                    <w:t>从接收到竣工结算齐备资料之日起30天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0" w:type="dxa"/>
                </w:tcPr>
                <w:p>
                  <w:pPr>
                    <w:widowControl/>
                    <w:jc w:val="left"/>
                    <w:rPr>
                      <w:kern w:val="0"/>
                      <w:szCs w:val="21"/>
                    </w:rPr>
                  </w:pPr>
                  <w:r>
                    <w:rPr>
                      <w:kern w:val="0"/>
                      <w:szCs w:val="21"/>
                    </w:rPr>
                    <w:t>5000万元－10000万元</w:t>
                  </w:r>
                </w:p>
              </w:tc>
              <w:tc>
                <w:tcPr>
                  <w:tcW w:w="2476" w:type="dxa"/>
                </w:tcPr>
                <w:p>
                  <w:pPr>
                    <w:widowControl/>
                    <w:jc w:val="center"/>
                    <w:rPr>
                      <w:kern w:val="0"/>
                      <w:szCs w:val="21"/>
                    </w:rPr>
                  </w:pPr>
                  <w:r>
                    <w:rPr>
                      <w:kern w:val="0"/>
                      <w:szCs w:val="21"/>
                    </w:rPr>
                    <w:t>接到竣工结算资料起20天</w:t>
                  </w:r>
                </w:p>
              </w:tc>
              <w:tc>
                <w:tcPr>
                  <w:tcW w:w="2552" w:type="dxa"/>
                </w:tcPr>
                <w:p>
                  <w:pPr>
                    <w:widowControl/>
                    <w:jc w:val="center"/>
                    <w:rPr>
                      <w:kern w:val="0"/>
                      <w:szCs w:val="21"/>
                    </w:rPr>
                  </w:pPr>
                  <w:r>
                    <w:rPr>
                      <w:kern w:val="0"/>
                      <w:szCs w:val="21"/>
                    </w:rPr>
                    <w:t>从接收到竣工结算齐备资料之日起40天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0" w:type="dxa"/>
                </w:tcPr>
                <w:p>
                  <w:pPr>
                    <w:widowControl/>
                    <w:jc w:val="left"/>
                    <w:rPr>
                      <w:kern w:val="0"/>
                      <w:szCs w:val="21"/>
                    </w:rPr>
                  </w:pPr>
                  <w:r>
                    <w:rPr>
                      <w:kern w:val="0"/>
                      <w:szCs w:val="21"/>
                    </w:rPr>
                    <w:t>10000万元以上</w:t>
                  </w:r>
                </w:p>
              </w:tc>
              <w:tc>
                <w:tcPr>
                  <w:tcW w:w="2476" w:type="dxa"/>
                </w:tcPr>
                <w:p>
                  <w:pPr>
                    <w:widowControl/>
                    <w:jc w:val="center"/>
                    <w:rPr>
                      <w:kern w:val="0"/>
                      <w:szCs w:val="21"/>
                    </w:rPr>
                  </w:pPr>
                  <w:r>
                    <w:rPr>
                      <w:kern w:val="0"/>
                      <w:szCs w:val="21"/>
                    </w:rPr>
                    <w:t>接到竣工结算资料起25天</w:t>
                  </w:r>
                </w:p>
              </w:tc>
              <w:tc>
                <w:tcPr>
                  <w:tcW w:w="2552" w:type="dxa"/>
                </w:tcPr>
                <w:p>
                  <w:pPr>
                    <w:widowControl/>
                    <w:jc w:val="center"/>
                    <w:rPr>
                      <w:kern w:val="0"/>
                      <w:szCs w:val="21"/>
                    </w:rPr>
                  </w:pPr>
                  <w:r>
                    <w:rPr>
                      <w:kern w:val="0"/>
                      <w:szCs w:val="21"/>
                    </w:rPr>
                    <w:t>从接收到竣工结算齐备资料之日起50天</w:t>
                  </w:r>
                </w:p>
              </w:tc>
            </w:tr>
          </w:tbl>
          <w:p>
            <w:pPr>
              <w:pStyle w:val="47"/>
              <w:widowControl/>
              <w:snapToGrid w:val="0"/>
              <w:spacing w:line="360" w:lineRule="auto"/>
              <w:ind w:firstLine="0" w:firstLineChars="0"/>
              <w:jc w:val="left"/>
              <w:rPr>
                <w:kern w:val="0"/>
                <w:sz w:val="24"/>
                <w:szCs w:val="24"/>
              </w:rPr>
            </w:pPr>
            <w:r>
              <w:rPr>
                <w:rFonts w:hint="eastAsia"/>
                <w:kern w:val="0"/>
                <w:sz w:val="24"/>
                <w:szCs w:val="24"/>
              </w:rPr>
              <w:t>7.</w:t>
            </w:r>
            <w:r>
              <w:rPr>
                <w:kern w:val="0"/>
                <w:sz w:val="24"/>
                <w:szCs w:val="24"/>
              </w:rPr>
              <w:t>项目竣工结算完成及决算所需资料完备后30</w:t>
            </w:r>
            <w:r>
              <w:rPr>
                <w:rFonts w:hint="eastAsia"/>
                <w:kern w:val="0"/>
                <w:sz w:val="24"/>
                <w:szCs w:val="24"/>
              </w:rPr>
              <w:t>个日历日</w:t>
            </w:r>
            <w:r>
              <w:rPr>
                <w:kern w:val="0"/>
                <w:sz w:val="24"/>
                <w:szCs w:val="24"/>
              </w:rPr>
              <w:t>内，配合完成决算报告</w:t>
            </w:r>
            <w:r>
              <w:rPr>
                <w:rFonts w:hint="eastAsia"/>
                <w:kern w:val="0"/>
                <w:sz w:val="24"/>
                <w:szCs w:val="24"/>
              </w:rPr>
              <w:t>审核</w:t>
            </w:r>
            <w:r>
              <w:rPr>
                <w:kern w:val="0"/>
                <w:sz w:val="24"/>
                <w:szCs w:val="24"/>
              </w:rPr>
              <w:t>。</w:t>
            </w:r>
          </w:p>
          <w:p>
            <w:pPr>
              <w:widowControl/>
              <w:tabs>
                <w:tab w:val="left" w:pos="824"/>
              </w:tabs>
              <w:snapToGrid w:val="0"/>
              <w:spacing w:line="360" w:lineRule="auto"/>
              <w:jc w:val="left"/>
              <w:rPr>
                <w:kern w:val="0"/>
                <w:sz w:val="24"/>
              </w:rPr>
            </w:pPr>
            <w:r>
              <w:rPr>
                <w:rFonts w:hint="eastAsia"/>
                <w:sz w:val="24"/>
              </w:rPr>
              <w:t>8.</w:t>
            </w:r>
            <w:r>
              <w:rPr>
                <w:sz w:val="24"/>
              </w:rPr>
              <w:t>招标人有权根据项目复杂程度适当调整投标人提交造价咨询或审核成果时间；投标人应积极协调招标人及相关送审单位，确保在按上述时间规定提交成果文件并审结。</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jc w:val="center"/>
        </w:trPr>
        <w:tc>
          <w:tcPr>
            <w:tcW w:w="904" w:type="dxa"/>
            <w:vAlign w:val="center"/>
          </w:tcPr>
          <w:p>
            <w:pPr>
              <w:pStyle w:val="4"/>
              <w:spacing w:after="0"/>
              <w:ind w:firstLine="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6</w:t>
            </w:r>
          </w:p>
        </w:tc>
        <w:tc>
          <w:tcPr>
            <w:tcW w:w="1418" w:type="dxa"/>
            <w:vAlign w:val="center"/>
          </w:tcPr>
          <w:p>
            <w:pPr>
              <w:pStyle w:val="4"/>
              <w:spacing w:after="0"/>
              <w:ind w:firstLine="0"/>
              <w:jc w:val="center"/>
              <w:rPr>
                <w:sz w:val="24"/>
              </w:rPr>
            </w:pPr>
            <w:r>
              <w:rPr>
                <w:sz w:val="24"/>
              </w:rPr>
              <w:t>服务期</w:t>
            </w:r>
          </w:p>
        </w:tc>
        <w:tc>
          <w:tcPr>
            <w:tcW w:w="7422" w:type="dxa"/>
            <w:vAlign w:val="center"/>
          </w:tcPr>
          <w:p>
            <w:pPr>
              <w:spacing w:line="360" w:lineRule="auto"/>
              <w:rPr>
                <w:sz w:val="24"/>
              </w:rPr>
            </w:pPr>
            <w:r>
              <w:rPr>
                <w:sz w:val="24"/>
              </w:rPr>
              <w:t>暂定</w:t>
            </w:r>
            <w:r>
              <w:rPr>
                <w:rFonts w:hint="eastAsia"/>
                <w:sz w:val="24"/>
              </w:rPr>
              <w:t>48</w:t>
            </w:r>
            <w:r>
              <w:rPr>
                <w:sz w:val="24"/>
              </w:rPr>
              <w:t>个月，</w:t>
            </w:r>
            <w:r>
              <w:rPr>
                <w:rFonts w:hint="eastAsia"/>
                <w:sz w:val="24"/>
                <w:lang w:eastAsia="zh-CN"/>
              </w:rPr>
              <w:t>自合同签订之日起至该项目决算及相</w:t>
            </w:r>
            <w:bookmarkStart w:id="3" w:name="_GoBack"/>
            <w:bookmarkEnd w:id="3"/>
            <w:r>
              <w:rPr>
                <w:sz w:val="24"/>
              </w:rPr>
              <w:t>关服务范围全部工作完成为止</w:t>
            </w:r>
            <w:r>
              <w:rPr>
                <w:rFonts w:hint="eastAsia"/>
                <w:sz w:val="24"/>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4" w:type="dxa"/>
            <w:vAlign w:val="center"/>
          </w:tcPr>
          <w:p>
            <w:pPr>
              <w:pStyle w:val="4"/>
              <w:spacing w:after="0"/>
              <w:ind w:firstLine="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7</w:t>
            </w:r>
          </w:p>
        </w:tc>
        <w:tc>
          <w:tcPr>
            <w:tcW w:w="1418" w:type="dxa"/>
            <w:vAlign w:val="center"/>
          </w:tcPr>
          <w:p>
            <w:pPr>
              <w:pStyle w:val="4"/>
              <w:spacing w:after="0"/>
              <w:ind w:firstLine="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服务取费标准及付款方式</w:t>
            </w:r>
          </w:p>
        </w:tc>
        <w:tc>
          <w:tcPr>
            <w:tcW w:w="7422" w:type="dxa"/>
          </w:tcPr>
          <w:p>
            <w:pPr>
              <w:numPr>
                <w:ilvl w:val="255"/>
                <w:numId w:val="0"/>
              </w:numPr>
              <w:spacing w:line="360" w:lineRule="auto"/>
              <w:ind w:right="150"/>
              <w:jc w:val="left"/>
              <w:rPr>
                <w:rFonts w:asciiTheme="majorEastAsia" w:hAnsiTheme="majorEastAsia" w:eastAsiaTheme="majorEastAsia"/>
                <w:b/>
                <w:color w:val="000000"/>
                <w:sz w:val="24"/>
                <w:szCs w:val="24"/>
              </w:rPr>
            </w:pPr>
            <w:r>
              <w:rPr>
                <w:rFonts w:hint="eastAsia"/>
                <w:kern w:val="0"/>
                <w:sz w:val="24"/>
              </w:rPr>
              <w:t>全过程造价咨询审核服务</w:t>
            </w:r>
            <w:r>
              <w:rPr>
                <w:rFonts w:hint="eastAsia" w:asciiTheme="majorEastAsia" w:hAnsiTheme="majorEastAsia" w:eastAsiaTheme="majorEastAsia"/>
                <w:color w:val="000000"/>
                <w:sz w:val="24"/>
                <w:szCs w:val="24"/>
              </w:rPr>
              <w:t>取费标准：</w:t>
            </w:r>
          </w:p>
          <w:p>
            <w:pPr>
              <w:spacing w:line="360" w:lineRule="auto"/>
              <w:ind w:right="150"/>
              <w:jc w:val="left"/>
              <w:rPr>
                <w:rFonts w:asciiTheme="majorEastAsia" w:hAnsiTheme="majorEastAsia" w:eastAsiaTheme="majorEastAsia"/>
                <w:b/>
                <w:color w:val="000000"/>
                <w:sz w:val="24"/>
                <w:szCs w:val="24"/>
              </w:rPr>
            </w:pPr>
            <w:r>
              <w:rPr>
                <w:rFonts w:hint="eastAsia" w:ascii="宋体" w:hAnsi="宋体" w:cs="宋体"/>
                <w:sz w:val="24"/>
                <w:szCs w:val="24"/>
              </w:rPr>
              <w:t>1.取费按</w:t>
            </w:r>
            <w:r>
              <w:rPr>
                <w:rFonts w:hint="eastAsia" w:ascii="宋体" w:hAnsi="宋体"/>
                <w:kern w:val="0"/>
                <w:sz w:val="24"/>
              </w:rPr>
              <w:t>参照广东省物价局《关于调整我省建设工程造价咨询服务收费的复函》粤价函[2011]742号文</w:t>
            </w:r>
            <w:r>
              <w:rPr>
                <w:rFonts w:hint="eastAsia" w:ascii="宋体" w:hAnsi="宋体" w:cs="宋体"/>
                <w:sz w:val="24"/>
                <w:szCs w:val="24"/>
              </w:rPr>
              <w:t>。</w:t>
            </w:r>
          </w:p>
          <w:p>
            <w:pPr>
              <w:spacing w:line="360" w:lineRule="auto"/>
              <w:ind w:right="150"/>
              <w:jc w:val="left"/>
              <w:rPr>
                <w:rFonts w:ascii="宋体" w:hAnsi="宋体" w:cs="宋体"/>
                <w:sz w:val="24"/>
                <w:szCs w:val="24"/>
              </w:rPr>
            </w:pPr>
            <w:r>
              <w:rPr>
                <w:rFonts w:hint="eastAsia" w:ascii="宋体" w:hAnsi="宋体" w:cs="宋体"/>
                <w:sz w:val="24"/>
                <w:szCs w:val="24"/>
              </w:rPr>
              <w:t>2.投标人投标报价在招标文件约定范围内固定费率包干（即投标报价费用包干），在合同期内不做调整。投标人根据自身情况，按招标文件要求自行报价。</w:t>
            </w:r>
          </w:p>
          <w:p>
            <w:pPr>
              <w:spacing w:line="360" w:lineRule="auto"/>
              <w:ind w:right="150"/>
              <w:jc w:val="left"/>
              <w:rPr>
                <w:rFonts w:ascii="宋体" w:hAnsi="宋体"/>
                <w:kern w:val="0"/>
                <w:sz w:val="24"/>
              </w:rPr>
            </w:pPr>
            <w:r>
              <w:rPr>
                <w:rFonts w:hint="eastAsia" w:ascii="宋体" w:hAnsi="宋体"/>
                <w:kern w:val="0"/>
                <w:sz w:val="24"/>
              </w:rPr>
              <w:t>3.</w:t>
            </w:r>
            <w:r>
              <w:rPr>
                <w:rFonts w:ascii="宋体" w:hAnsi="宋体"/>
                <w:kern w:val="0"/>
                <w:sz w:val="24"/>
              </w:rPr>
              <w:t>初步设计概算审核、施工图预算审核、竣工结算审核等均包括钢筋及预埋件计算，费用含在合同价中，不单独收费</w:t>
            </w:r>
            <w:r>
              <w:rPr>
                <w:rFonts w:hint="eastAsia" w:ascii="宋体" w:hAnsi="宋体"/>
                <w:kern w:val="0"/>
                <w:sz w:val="24"/>
              </w:rPr>
              <w:t>。</w:t>
            </w:r>
          </w:p>
          <w:p>
            <w:pPr>
              <w:spacing w:line="360" w:lineRule="auto"/>
              <w:ind w:right="150"/>
              <w:jc w:val="left"/>
              <w:rPr>
                <w:bCs/>
                <w:spacing w:val="-2"/>
                <w:sz w:val="24"/>
                <w:szCs w:val="24"/>
              </w:rPr>
            </w:pPr>
            <w:r>
              <w:rPr>
                <w:rFonts w:hint="eastAsia" w:ascii="宋体" w:hAnsi="宋体"/>
                <w:kern w:val="0"/>
                <w:sz w:val="24"/>
              </w:rPr>
              <w:t>4.</w:t>
            </w:r>
            <w:r>
              <w:rPr>
                <w:bCs/>
                <w:spacing w:val="-2"/>
                <w:sz w:val="24"/>
                <w:szCs w:val="24"/>
              </w:rPr>
              <w:t xml:space="preserve"> 本项目的</w:t>
            </w:r>
            <w:r>
              <w:rPr>
                <w:rFonts w:hint="eastAsia"/>
                <w:bCs/>
                <w:spacing w:val="-2"/>
                <w:sz w:val="24"/>
                <w:szCs w:val="24"/>
              </w:rPr>
              <w:t>造价咨询审核服务</w:t>
            </w:r>
            <w:r>
              <w:rPr>
                <w:bCs/>
                <w:spacing w:val="-2"/>
                <w:sz w:val="24"/>
                <w:szCs w:val="24"/>
              </w:rPr>
              <w:t>费如因非投标人原因导致服务期延长超过</w:t>
            </w:r>
            <w:r>
              <w:rPr>
                <w:rFonts w:hint="eastAsia"/>
                <w:bCs/>
                <w:spacing w:val="-2"/>
                <w:sz w:val="24"/>
                <w:szCs w:val="24"/>
              </w:rPr>
              <w:t>48</w:t>
            </w:r>
            <w:r>
              <w:rPr>
                <w:bCs/>
                <w:spacing w:val="-2"/>
                <w:sz w:val="24"/>
                <w:szCs w:val="24"/>
              </w:rPr>
              <w:t>个月，双方友好协商另行增加服务费</w:t>
            </w:r>
            <w:r>
              <w:rPr>
                <w:rFonts w:hint="eastAsia"/>
                <w:bCs/>
                <w:spacing w:val="-2"/>
                <w:sz w:val="24"/>
                <w:szCs w:val="24"/>
              </w:rPr>
              <w:t>；工程结算书送审延后造成的服务期延长，不增加服务费</w:t>
            </w:r>
            <w:r>
              <w:rPr>
                <w:bCs/>
                <w:spacing w:val="-2"/>
                <w:sz w:val="24"/>
                <w:szCs w:val="24"/>
              </w:rPr>
              <w:t>。</w:t>
            </w:r>
          </w:p>
          <w:p>
            <w:pPr>
              <w:spacing w:line="360" w:lineRule="auto"/>
              <w:ind w:right="150"/>
              <w:jc w:val="left"/>
              <w:rPr>
                <w:rFonts w:ascii="宋体" w:hAnsi="宋体"/>
                <w:kern w:val="0"/>
                <w:sz w:val="24"/>
              </w:rPr>
            </w:pP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付款方式：</w:t>
            </w:r>
            <w:r>
              <w:rPr>
                <w:sz w:val="24"/>
              </w:rPr>
              <w:t>全过程造价咨询及相关服务费支付方式</w:t>
            </w:r>
            <w:r>
              <w:rPr>
                <w:rFonts w:hint="eastAsia" w:asciiTheme="majorEastAsia" w:hAnsiTheme="majorEastAsia" w:eastAsiaTheme="majorEastAsia"/>
                <w:color w:val="000000"/>
                <w:sz w:val="24"/>
                <w:szCs w:val="24"/>
              </w:rPr>
              <w:t>，具体如下：</w:t>
            </w:r>
          </w:p>
          <w:tbl>
            <w:tblPr>
              <w:tblStyle w:val="25"/>
              <w:tblW w:w="71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
              <w:gridCol w:w="3969"/>
              <w:gridCol w:w="2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 w:type="dxa"/>
                </w:tcPr>
                <w:p>
                  <w:pPr>
                    <w:pStyle w:val="16"/>
                    <w:spacing w:after="0" w:line="500" w:lineRule="exact"/>
                    <w:ind w:left="0" w:leftChars="0"/>
                    <w:jc w:val="center"/>
                    <w:rPr>
                      <w:b/>
                      <w:bCs/>
                      <w:szCs w:val="21"/>
                    </w:rPr>
                  </w:pPr>
                  <w:r>
                    <w:rPr>
                      <w:b/>
                      <w:bCs/>
                      <w:szCs w:val="21"/>
                    </w:rPr>
                    <w:t>序号</w:t>
                  </w:r>
                </w:p>
              </w:tc>
              <w:tc>
                <w:tcPr>
                  <w:tcW w:w="3969" w:type="dxa"/>
                </w:tcPr>
                <w:p>
                  <w:pPr>
                    <w:pStyle w:val="16"/>
                    <w:spacing w:after="0" w:line="500" w:lineRule="exact"/>
                    <w:ind w:left="0" w:leftChars="0"/>
                    <w:jc w:val="center"/>
                    <w:rPr>
                      <w:b/>
                      <w:bCs/>
                      <w:szCs w:val="21"/>
                    </w:rPr>
                  </w:pPr>
                  <w:r>
                    <w:rPr>
                      <w:b/>
                      <w:bCs/>
                      <w:szCs w:val="21"/>
                    </w:rPr>
                    <w:t>支付时点</w:t>
                  </w:r>
                </w:p>
              </w:tc>
              <w:tc>
                <w:tcPr>
                  <w:tcW w:w="2768" w:type="dxa"/>
                </w:tcPr>
                <w:p>
                  <w:pPr>
                    <w:pStyle w:val="16"/>
                    <w:spacing w:after="0" w:line="500" w:lineRule="exact"/>
                    <w:ind w:left="0" w:leftChars="0"/>
                    <w:jc w:val="center"/>
                    <w:rPr>
                      <w:b/>
                      <w:bCs/>
                      <w:szCs w:val="21"/>
                    </w:rPr>
                  </w:pPr>
                  <w:r>
                    <w:rPr>
                      <w:b/>
                      <w:bCs/>
                      <w:szCs w:val="21"/>
                    </w:rPr>
                    <w:t>支付比例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 w:type="dxa"/>
                </w:tcPr>
                <w:p>
                  <w:pPr>
                    <w:pStyle w:val="16"/>
                    <w:spacing w:after="0" w:line="500" w:lineRule="exact"/>
                    <w:ind w:left="0" w:leftChars="0"/>
                    <w:rPr>
                      <w:szCs w:val="21"/>
                    </w:rPr>
                  </w:pPr>
                  <w:r>
                    <w:rPr>
                      <w:szCs w:val="21"/>
                    </w:rPr>
                    <w:t>1</w:t>
                  </w:r>
                </w:p>
              </w:tc>
              <w:tc>
                <w:tcPr>
                  <w:tcW w:w="3969" w:type="dxa"/>
                </w:tcPr>
                <w:p>
                  <w:pPr>
                    <w:pStyle w:val="16"/>
                    <w:spacing w:after="0" w:line="500" w:lineRule="exact"/>
                    <w:ind w:left="0" w:leftChars="0"/>
                    <w:rPr>
                      <w:szCs w:val="21"/>
                    </w:rPr>
                  </w:pPr>
                  <w:r>
                    <w:rPr>
                      <w:szCs w:val="21"/>
                    </w:rPr>
                    <w:t>合同签订后10个工作日内</w:t>
                  </w:r>
                </w:p>
              </w:tc>
              <w:tc>
                <w:tcPr>
                  <w:tcW w:w="2768" w:type="dxa"/>
                </w:tcPr>
                <w:p>
                  <w:pPr>
                    <w:pStyle w:val="16"/>
                    <w:spacing w:after="0" w:line="500" w:lineRule="exact"/>
                    <w:ind w:left="0" w:leftChars="0"/>
                    <w:rPr>
                      <w:szCs w:val="21"/>
                    </w:rPr>
                  </w:pPr>
                  <w:r>
                    <w:rPr>
                      <w:rFonts w:hint="eastAsia"/>
                      <w:szCs w:val="21"/>
                    </w:rPr>
                    <w:t>服务费中标价</w:t>
                  </w:r>
                  <w:r>
                    <w:rPr>
                      <w:szCs w:val="21"/>
                    </w:rPr>
                    <w:t>的</w:t>
                  </w:r>
                  <w:r>
                    <w:rPr>
                      <w:rFonts w:hint="eastAsia"/>
                      <w:szCs w:val="21"/>
                    </w:rPr>
                    <w:t>15</w:t>
                  </w:r>
                  <w:r>
                    <w:rPr>
                      <w:szCs w:val="21"/>
                    </w:rPr>
                    <w:t>%</w:t>
                  </w:r>
                  <w:r>
                    <w:rPr>
                      <w:rFonts w:hint="eastAsia"/>
                      <w:szCs w:val="21"/>
                    </w:rPr>
                    <w:t>，电汇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 w:type="dxa"/>
                </w:tcPr>
                <w:p>
                  <w:pPr>
                    <w:pStyle w:val="16"/>
                    <w:spacing w:after="0" w:line="500" w:lineRule="exact"/>
                    <w:ind w:left="0" w:leftChars="0"/>
                    <w:rPr>
                      <w:szCs w:val="21"/>
                    </w:rPr>
                  </w:pPr>
                  <w:r>
                    <w:rPr>
                      <w:rFonts w:hint="eastAsia"/>
                      <w:szCs w:val="21"/>
                    </w:rPr>
                    <w:t>2</w:t>
                  </w:r>
                </w:p>
              </w:tc>
              <w:tc>
                <w:tcPr>
                  <w:tcW w:w="3969" w:type="dxa"/>
                </w:tcPr>
                <w:p>
                  <w:pPr>
                    <w:pStyle w:val="16"/>
                    <w:spacing w:after="0" w:line="500" w:lineRule="exact"/>
                    <w:ind w:left="0" w:leftChars="0"/>
                    <w:rPr>
                      <w:szCs w:val="21"/>
                    </w:rPr>
                  </w:pPr>
                  <w:r>
                    <w:rPr>
                      <w:szCs w:val="21"/>
                    </w:rPr>
                    <w:t>设计概算审核完成后10个工作日内</w:t>
                  </w:r>
                </w:p>
              </w:tc>
              <w:tc>
                <w:tcPr>
                  <w:tcW w:w="2768" w:type="dxa"/>
                </w:tcPr>
                <w:p>
                  <w:pPr>
                    <w:pStyle w:val="16"/>
                    <w:spacing w:after="0" w:line="500" w:lineRule="exact"/>
                    <w:ind w:left="0" w:leftChars="0"/>
                    <w:rPr>
                      <w:szCs w:val="21"/>
                    </w:rPr>
                  </w:pPr>
                  <w:r>
                    <w:rPr>
                      <w:rFonts w:hint="eastAsia"/>
                      <w:szCs w:val="21"/>
                    </w:rPr>
                    <w:t>服务费中标价</w:t>
                  </w:r>
                  <w:r>
                    <w:rPr>
                      <w:szCs w:val="21"/>
                    </w:rPr>
                    <w:t>的5%</w:t>
                  </w:r>
                  <w:r>
                    <w:rPr>
                      <w:rFonts w:hint="eastAsia"/>
                      <w:szCs w:val="21"/>
                    </w:rPr>
                    <w:t>，电汇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 w:type="dxa"/>
                </w:tcPr>
                <w:p>
                  <w:pPr>
                    <w:pStyle w:val="16"/>
                    <w:spacing w:after="0" w:line="500" w:lineRule="exact"/>
                    <w:ind w:left="0" w:leftChars="0"/>
                    <w:rPr>
                      <w:szCs w:val="21"/>
                    </w:rPr>
                  </w:pPr>
                  <w:r>
                    <w:rPr>
                      <w:rFonts w:hint="eastAsia"/>
                      <w:szCs w:val="21"/>
                    </w:rPr>
                    <w:t>3</w:t>
                  </w:r>
                </w:p>
              </w:tc>
              <w:tc>
                <w:tcPr>
                  <w:tcW w:w="3969" w:type="dxa"/>
                </w:tcPr>
                <w:p>
                  <w:pPr>
                    <w:pStyle w:val="16"/>
                    <w:spacing w:after="0" w:line="500" w:lineRule="exact"/>
                    <w:ind w:left="0" w:leftChars="0"/>
                    <w:rPr>
                      <w:szCs w:val="21"/>
                    </w:rPr>
                  </w:pPr>
                  <w:r>
                    <w:rPr>
                      <w:szCs w:val="21"/>
                    </w:rPr>
                    <w:t>主体施工图预算审核后10个工作日内</w:t>
                  </w:r>
                </w:p>
              </w:tc>
              <w:tc>
                <w:tcPr>
                  <w:tcW w:w="2768" w:type="dxa"/>
                </w:tcPr>
                <w:p>
                  <w:pPr>
                    <w:pStyle w:val="16"/>
                    <w:spacing w:after="0" w:line="500" w:lineRule="exact"/>
                    <w:ind w:left="0" w:leftChars="0"/>
                    <w:rPr>
                      <w:szCs w:val="21"/>
                    </w:rPr>
                  </w:pPr>
                  <w:r>
                    <w:rPr>
                      <w:rFonts w:hint="eastAsia"/>
                      <w:szCs w:val="21"/>
                    </w:rPr>
                    <w:t>服务费中标价</w:t>
                  </w:r>
                  <w:r>
                    <w:rPr>
                      <w:szCs w:val="21"/>
                    </w:rPr>
                    <w:t>的10%</w:t>
                  </w:r>
                  <w:r>
                    <w:rPr>
                      <w:rFonts w:hint="eastAsia"/>
                      <w:szCs w:val="21"/>
                    </w:rPr>
                    <w:t>，电汇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 w:type="dxa"/>
                </w:tcPr>
                <w:p>
                  <w:pPr>
                    <w:pStyle w:val="16"/>
                    <w:spacing w:after="0" w:line="500" w:lineRule="exact"/>
                    <w:ind w:left="0" w:leftChars="0"/>
                    <w:rPr>
                      <w:szCs w:val="21"/>
                    </w:rPr>
                  </w:pPr>
                  <w:r>
                    <w:rPr>
                      <w:rFonts w:hint="eastAsia"/>
                      <w:szCs w:val="21"/>
                    </w:rPr>
                    <w:t>4</w:t>
                  </w:r>
                </w:p>
              </w:tc>
              <w:tc>
                <w:tcPr>
                  <w:tcW w:w="3969" w:type="dxa"/>
                </w:tcPr>
                <w:p>
                  <w:pPr>
                    <w:pStyle w:val="16"/>
                    <w:spacing w:after="0" w:line="500" w:lineRule="exact"/>
                    <w:ind w:left="0" w:leftChars="0"/>
                    <w:rPr>
                      <w:szCs w:val="21"/>
                    </w:rPr>
                  </w:pPr>
                  <w:r>
                    <w:rPr>
                      <w:szCs w:val="21"/>
                    </w:rPr>
                    <w:t>土建结构±0.00施工完成后10个工作日内</w:t>
                  </w:r>
                </w:p>
              </w:tc>
              <w:tc>
                <w:tcPr>
                  <w:tcW w:w="2768" w:type="dxa"/>
                </w:tcPr>
                <w:p>
                  <w:pPr>
                    <w:pStyle w:val="16"/>
                    <w:spacing w:after="0" w:line="500" w:lineRule="exact"/>
                    <w:ind w:left="0" w:leftChars="0"/>
                    <w:rPr>
                      <w:szCs w:val="21"/>
                    </w:rPr>
                  </w:pPr>
                  <w:r>
                    <w:rPr>
                      <w:rFonts w:hint="eastAsia"/>
                      <w:szCs w:val="21"/>
                    </w:rPr>
                    <w:t>服务费中标价</w:t>
                  </w:r>
                  <w:r>
                    <w:rPr>
                      <w:szCs w:val="21"/>
                    </w:rPr>
                    <w:t>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 w:type="dxa"/>
                </w:tcPr>
                <w:p>
                  <w:pPr>
                    <w:pStyle w:val="16"/>
                    <w:spacing w:after="0" w:line="500" w:lineRule="exact"/>
                    <w:ind w:left="0" w:leftChars="0"/>
                    <w:rPr>
                      <w:szCs w:val="21"/>
                    </w:rPr>
                  </w:pPr>
                  <w:r>
                    <w:rPr>
                      <w:rFonts w:hint="eastAsia"/>
                      <w:szCs w:val="21"/>
                    </w:rPr>
                    <w:t>5</w:t>
                  </w:r>
                </w:p>
              </w:tc>
              <w:tc>
                <w:tcPr>
                  <w:tcW w:w="3969" w:type="dxa"/>
                </w:tcPr>
                <w:p>
                  <w:pPr>
                    <w:pStyle w:val="16"/>
                    <w:spacing w:after="0" w:line="500" w:lineRule="exact"/>
                    <w:ind w:left="0" w:leftChars="0"/>
                    <w:rPr>
                      <w:szCs w:val="21"/>
                    </w:rPr>
                  </w:pPr>
                  <w:r>
                    <w:rPr>
                      <w:szCs w:val="21"/>
                    </w:rPr>
                    <w:t>土建结构施工完成50%后10个工作日内</w:t>
                  </w:r>
                </w:p>
              </w:tc>
              <w:tc>
                <w:tcPr>
                  <w:tcW w:w="2768" w:type="dxa"/>
                </w:tcPr>
                <w:p>
                  <w:pPr>
                    <w:pStyle w:val="16"/>
                    <w:spacing w:after="0" w:line="500" w:lineRule="exact"/>
                    <w:ind w:left="0" w:leftChars="0"/>
                    <w:rPr>
                      <w:szCs w:val="21"/>
                    </w:rPr>
                  </w:pPr>
                  <w:r>
                    <w:rPr>
                      <w:rFonts w:hint="eastAsia"/>
                      <w:szCs w:val="21"/>
                    </w:rPr>
                    <w:t>服务费中标价</w:t>
                  </w:r>
                  <w:r>
                    <w:rPr>
                      <w:szCs w:val="21"/>
                    </w:rPr>
                    <w:t>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 w:type="dxa"/>
                </w:tcPr>
                <w:p>
                  <w:pPr>
                    <w:pStyle w:val="16"/>
                    <w:spacing w:after="0" w:line="500" w:lineRule="exact"/>
                    <w:ind w:left="0" w:leftChars="0"/>
                    <w:rPr>
                      <w:szCs w:val="21"/>
                    </w:rPr>
                  </w:pPr>
                  <w:r>
                    <w:rPr>
                      <w:rFonts w:hint="eastAsia"/>
                      <w:szCs w:val="21"/>
                    </w:rPr>
                    <w:t>6</w:t>
                  </w:r>
                </w:p>
              </w:tc>
              <w:tc>
                <w:tcPr>
                  <w:tcW w:w="3969" w:type="dxa"/>
                </w:tcPr>
                <w:p>
                  <w:pPr>
                    <w:pStyle w:val="16"/>
                    <w:spacing w:after="0" w:line="500" w:lineRule="exact"/>
                    <w:ind w:left="0" w:leftChars="0"/>
                    <w:rPr>
                      <w:szCs w:val="21"/>
                    </w:rPr>
                  </w:pPr>
                  <w:r>
                    <w:rPr>
                      <w:szCs w:val="21"/>
                    </w:rPr>
                    <w:t>结构封顶后10个工作日内</w:t>
                  </w:r>
                </w:p>
              </w:tc>
              <w:tc>
                <w:tcPr>
                  <w:tcW w:w="2768" w:type="dxa"/>
                </w:tcPr>
                <w:p>
                  <w:pPr>
                    <w:pStyle w:val="16"/>
                    <w:spacing w:after="0" w:line="500" w:lineRule="exact"/>
                    <w:ind w:left="0" w:leftChars="0"/>
                    <w:rPr>
                      <w:szCs w:val="21"/>
                    </w:rPr>
                  </w:pPr>
                  <w:r>
                    <w:rPr>
                      <w:rFonts w:hint="eastAsia"/>
                      <w:szCs w:val="21"/>
                    </w:rPr>
                    <w:t>服务费中标价</w:t>
                  </w:r>
                  <w:r>
                    <w:rPr>
                      <w:szCs w:val="21"/>
                    </w:rPr>
                    <w:t>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 w:type="dxa"/>
                </w:tcPr>
                <w:p>
                  <w:pPr>
                    <w:pStyle w:val="16"/>
                    <w:spacing w:after="0" w:line="500" w:lineRule="exact"/>
                    <w:ind w:left="0" w:leftChars="0"/>
                    <w:rPr>
                      <w:szCs w:val="21"/>
                    </w:rPr>
                  </w:pPr>
                  <w:r>
                    <w:rPr>
                      <w:rFonts w:hint="eastAsia"/>
                      <w:szCs w:val="21"/>
                    </w:rPr>
                    <w:t>7</w:t>
                  </w:r>
                </w:p>
              </w:tc>
              <w:tc>
                <w:tcPr>
                  <w:tcW w:w="3969" w:type="dxa"/>
                </w:tcPr>
                <w:p>
                  <w:pPr>
                    <w:pStyle w:val="16"/>
                    <w:spacing w:after="0" w:line="500" w:lineRule="exact"/>
                    <w:ind w:left="0" w:leftChars="0"/>
                    <w:rPr>
                      <w:szCs w:val="21"/>
                    </w:rPr>
                  </w:pPr>
                  <w:r>
                    <w:rPr>
                      <w:rFonts w:hint="eastAsia"/>
                      <w:szCs w:val="21"/>
                    </w:rPr>
                    <w:t>机电安装施工</w:t>
                  </w:r>
                  <w:r>
                    <w:rPr>
                      <w:szCs w:val="21"/>
                    </w:rPr>
                    <w:t>完成50%后10个工作日内</w:t>
                  </w:r>
                </w:p>
              </w:tc>
              <w:tc>
                <w:tcPr>
                  <w:tcW w:w="2768" w:type="dxa"/>
                </w:tcPr>
                <w:p>
                  <w:pPr>
                    <w:pStyle w:val="16"/>
                    <w:spacing w:after="0" w:line="500" w:lineRule="exact"/>
                    <w:ind w:left="0" w:leftChars="0"/>
                    <w:rPr>
                      <w:szCs w:val="21"/>
                    </w:rPr>
                  </w:pPr>
                  <w:r>
                    <w:rPr>
                      <w:rFonts w:hint="eastAsia"/>
                      <w:szCs w:val="21"/>
                    </w:rPr>
                    <w:t>服务费中标价</w:t>
                  </w:r>
                  <w:r>
                    <w:rPr>
                      <w:szCs w:val="21"/>
                    </w:rPr>
                    <w:t>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 w:type="dxa"/>
                </w:tcPr>
                <w:p>
                  <w:pPr>
                    <w:pStyle w:val="16"/>
                    <w:spacing w:after="0" w:line="500" w:lineRule="exact"/>
                    <w:ind w:left="0" w:leftChars="0"/>
                    <w:rPr>
                      <w:szCs w:val="21"/>
                    </w:rPr>
                  </w:pPr>
                  <w:r>
                    <w:rPr>
                      <w:rFonts w:hint="eastAsia"/>
                      <w:szCs w:val="21"/>
                    </w:rPr>
                    <w:t>8</w:t>
                  </w:r>
                </w:p>
              </w:tc>
              <w:tc>
                <w:tcPr>
                  <w:tcW w:w="3969" w:type="dxa"/>
                </w:tcPr>
                <w:p>
                  <w:pPr>
                    <w:pStyle w:val="16"/>
                    <w:spacing w:after="0" w:line="500" w:lineRule="exact"/>
                    <w:ind w:left="0" w:leftChars="0"/>
                    <w:rPr>
                      <w:szCs w:val="21"/>
                    </w:rPr>
                  </w:pPr>
                  <w:r>
                    <w:rPr>
                      <w:szCs w:val="21"/>
                    </w:rPr>
                    <w:t>工程竣工后10个工作日内</w:t>
                  </w:r>
                </w:p>
              </w:tc>
              <w:tc>
                <w:tcPr>
                  <w:tcW w:w="2768" w:type="dxa"/>
                </w:tcPr>
                <w:p>
                  <w:pPr>
                    <w:pStyle w:val="16"/>
                    <w:spacing w:after="0" w:line="500" w:lineRule="exact"/>
                    <w:ind w:left="0" w:leftChars="0"/>
                    <w:rPr>
                      <w:szCs w:val="21"/>
                    </w:rPr>
                  </w:pPr>
                  <w:r>
                    <w:rPr>
                      <w:rFonts w:hint="eastAsia"/>
                      <w:szCs w:val="21"/>
                    </w:rPr>
                    <w:t>服务费中标价</w:t>
                  </w:r>
                  <w:r>
                    <w:rPr>
                      <w:szCs w:val="21"/>
                    </w:rPr>
                    <w:t>的</w:t>
                  </w:r>
                  <w:r>
                    <w:rPr>
                      <w:rFonts w:hint="eastAsia"/>
                      <w:szCs w:val="21"/>
                    </w:rPr>
                    <w:t>10</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 w:type="dxa"/>
                </w:tcPr>
                <w:p>
                  <w:pPr>
                    <w:pStyle w:val="16"/>
                    <w:spacing w:after="0" w:line="500" w:lineRule="exact"/>
                    <w:ind w:left="0" w:leftChars="0"/>
                    <w:rPr>
                      <w:szCs w:val="21"/>
                    </w:rPr>
                  </w:pPr>
                  <w:r>
                    <w:rPr>
                      <w:rFonts w:hint="eastAsia"/>
                      <w:szCs w:val="21"/>
                    </w:rPr>
                    <w:t>9</w:t>
                  </w:r>
                </w:p>
              </w:tc>
              <w:tc>
                <w:tcPr>
                  <w:tcW w:w="3969" w:type="dxa"/>
                </w:tcPr>
                <w:p>
                  <w:pPr>
                    <w:pStyle w:val="16"/>
                    <w:spacing w:after="0" w:line="500" w:lineRule="exact"/>
                    <w:ind w:left="0" w:leftChars="0"/>
                    <w:rPr>
                      <w:szCs w:val="21"/>
                    </w:rPr>
                  </w:pPr>
                  <w:r>
                    <w:rPr>
                      <w:szCs w:val="21"/>
                    </w:rPr>
                    <w:t>工程结算审核</w:t>
                  </w:r>
                  <w:r>
                    <w:rPr>
                      <w:rFonts w:hint="eastAsia"/>
                      <w:szCs w:val="21"/>
                    </w:rPr>
                    <w:t>完成</w:t>
                  </w:r>
                  <w:r>
                    <w:rPr>
                      <w:szCs w:val="21"/>
                    </w:rPr>
                    <w:t>后10个工作日内</w:t>
                  </w:r>
                </w:p>
              </w:tc>
              <w:tc>
                <w:tcPr>
                  <w:tcW w:w="2768" w:type="dxa"/>
                </w:tcPr>
                <w:p>
                  <w:pPr>
                    <w:pStyle w:val="16"/>
                    <w:spacing w:after="0" w:line="500" w:lineRule="exact"/>
                    <w:ind w:left="0" w:leftChars="0"/>
                    <w:rPr>
                      <w:szCs w:val="21"/>
                    </w:rPr>
                  </w:pPr>
                  <w:r>
                    <w:rPr>
                      <w:rFonts w:hint="eastAsia"/>
                      <w:szCs w:val="21"/>
                    </w:rPr>
                    <w:t>服务费中标价</w:t>
                  </w:r>
                  <w:r>
                    <w:rPr>
                      <w:szCs w:val="21"/>
                    </w:rPr>
                    <w:t>的17%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4" w:type="dxa"/>
                </w:tcPr>
                <w:p>
                  <w:pPr>
                    <w:pStyle w:val="16"/>
                    <w:spacing w:after="0" w:line="500" w:lineRule="exact"/>
                    <w:ind w:left="0" w:leftChars="0"/>
                    <w:rPr>
                      <w:szCs w:val="21"/>
                    </w:rPr>
                  </w:pPr>
                  <w:r>
                    <w:rPr>
                      <w:rFonts w:hint="eastAsia"/>
                      <w:szCs w:val="21"/>
                    </w:rPr>
                    <w:t>10</w:t>
                  </w:r>
                </w:p>
              </w:tc>
              <w:tc>
                <w:tcPr>
                  <w:tcW w:w="3969" w:type="dxa"/>
                </w:tcPr>
                <w:p>
                  <w:pPr>
                    <w:pStyle w:val="16"/>
                    <w:spacing w:after="0" w:line="500" w:lineRule="exact"/>
                    <w:ind w:left="0" w:leftChars="0"/>
                    <w:rPr>
                      <w:szCs w:val="21"/>
                    </w:rPr>
                  </w:pPr>
                  <w:r>
                    <w:rPr>
                      <w:szCs w:val="21"/>
                    </w:rPr>
                    <w:t>完成本合同约定的全部工作并且本项目通过全面决算审计后15个工作日内</w:t>
                  </w:r>
                </w:p>
              </w:tc>
              <w:tc>
                <w:tcPr>
                  <w:tcW w:w="2768" w:type="dxa"/>
                </w:tcPr>
                <w:p>
                  <w:pPr>
                    <w:pStyle w:val="16"/>
                    <w:spacing w:after="0" w:line="500" w:lineRule="exact"/>
                    <w:ind w:left="0" w:leftChars="0"/>
                    <w:rPr>
                      <w:szCs w:val="21"/>
                    </w:rPr>
                  </w:pPr>
                  <w:r>
                    <w:rPr>
                      <w:szCs w:val="21"/>
                    </w:rPr>
                    <w:t>结清剩余服务费。</w:t>
                  </w:r>
                </w:p>
              </w:tc>
            </w:tr>
          </w:tbl>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注：本采购采用人民币支付；每次付款前，投标人应提供等额</w:t>
            </w:r>
            <w:r>
              <w:rPr>
                <w:rFonts w:hint="eastAsia" w:asciiTheme="majorEastAsia" w:hAnsiTheme="majorEastAsia" w:eastAsiaTheme="majorEastAsia"/>
                <w:sz w:val="24"/>
                <w:szCs w:val="24"/>
              </w:rPr>
              <w:t>增值税专用</w:t>
            </w:r>
            <w:r>
              <w:rPr>
                <w:rFonts w:hint="eastAsia" w:asciiTheme="majorEastAsia" w:hAnsiTheme="majorEastAsia" w:eastAsiaTheme="majorEastAsia"/>
                <w:color w:val="000000"/>
                <w:sz w:val="24"/>
                <w:szCs w:val="24"/>
              </w:rPr>
              <w:t>发票（税率6%）给招标人，投标人接受合同金额70%六个月的银行承兑汇票、合同金额30%的电汇方式付款；</w:t>
            </w:r>
            <w:r>
              <w:rPr>
                <w:sz w:val="24"/>
              </w:rPr>
              <w:t>否则，招标人有权拒绝支付相应的款项</w:t>
            </w:r>
            <w:r>
              <w:rPr>
                <w:rFonts w:hint="eastAsia"/>
                <w:sz w:val="24"/>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jc w:val="center"/>
        </w:trPr>
        <w:tc>
          <w:tcPr>
            <w:tcW w:w="904" w:type="dxa"/>
            <w:vAlign w:val="center"/>
          </w:tcPr>
          <w:p>
            <w:pPr>
              <w:pStyle w:val="4"/>
              <w:spacing w:after="0"/>
              <w:ind w:firstLine="240" w:firstLineChars="100"/>
              <w:rPr>
                <w:rFonts w:asciiTheme="majorEastAsia" w:hAnsiTheme="majorEastAsia" w:eastAsiaTheme="majorEastAsia"/>
                <w:sz w:val="24"/>
                <w:szCs w:val="24"/>
              </w:rPr>
            </w:pPr>
            <w:r>
              <w:rPr>
                <w:rFonts w:hint="eastAsia" w:asciiTheme="majorEastAsia" w:hAnsiTheme="majorEastAsia" w:eastAsiaTheme="majorEastAsia"/>
                <w:sz w:val="24"/>
                <w:szCs w:val="24"/>
              </w:rPr>
              <w:t>8</w:t>
            </w:r>
          </w:p>
        </w:tc>
        <w:tc>
          <w:tcPr>
            <w:tcW w:w="1418" w:type="dxa"/>
            <w:vAlign w:val="center"/>
          </w:tcPr>
          <w:p>
            <w:pPr>
              <w:pStyle w:val="4"/>
              <w:spacing w:after="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违约责任</w:t>
            </w:r>
          </w:p>
        </w:tc>
        <w:tc>
          <w:tcPr>
            <w:tcW w:w="7422" w:type="dxa"/>
            <w:vAlign w:val="center"/>
          </w:tcPr>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1、造价咨询必须按国家、省、市有关规定及《珠海市政府投资项目管理条例》进行造价咨询工作，认真、准确、及时出具咨询成果文件，不符合国家、广东省及珠海市相关规定的，投标人应无条件重新审核并对由此引起的一切后果负责，招标人有权延期支付费用，直至咨询成果质量合格。因投标人的单方过失造成的经济损失，招标人有权向投标人追究法律责任并进行索赔，累计赔偿总额不应超过建设工程造价咨询审核服务费用总额（除去税金）。</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2、招标人对投标人信息价以外的材料要求：经市场询价后进行专业评估，综合分析后确定其市场价，并提供不少于三家有效的询价资料，否则每次扣除2000元；</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 xml:space="preserve">3、在工程造价咨询过程中，如有违反以下条款，招标人可进行诚信登记并有权根据情况在一定期限内限制投标人承接招标人的咨询业务： </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w:t>
            </w:r>
            <w:r>
              <w:rPr>
                <w:rFonts w:hint="eastAsia" w:asciiTheme="majorEastAsia" w:hAnsiTheme="majorEastAsia" w:eastAsiaTheme="majorEastAsia"/>
                <w:color w:val="000000"/>
                <w:sz w:val="24"/>
                <w:szCs w:val="24"/>
                <w:lang w:val="en-US" w:eastAsia="zh-CN"/>
              </w:rPr>
              <w:t>1</w:t>
            </w:r>
            <w:r>
              <w:rPr>
                <w:rFonts w:hint="eastAsia" w:asciiTheme="majorEastAsia" w:hAnsiTheme="majorEastAsia" w:eastAsiaTheme="majorEastAsia"/>
                <w:color w:val="000000"/>
                <w:sz w:val="24"/>
                <w:szCs w:val="24"/>
              </w:rPr>
              <w:t>）投标人对招标人所提出的问题在招标人书面规定时间内不能及时做出明确答复的；</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w:t>
            </w:r>
            <w:r>
              <w:rPr>
                <w:rFonts w:hint="eastAsia" w:asciiTheme="majorEastAsia" w:hAnsiTheme="majorEastAsia" w:eastAsiaTheme="majorEastAsia"/>
                <w:color w:val="000000"/>
                <w:sz w:val="24"/>
                <w:szCs w:val="24"/>
                <w:lang w:val="en-US" w:eastAsia="zh-CN"/>
              </w:rPr>
              <w:t>2</w:t>
            </w:r>
            <w:r>
              <w:rPr>
                <w:rFonts w:hint="eastAsia" w:asciiTheme="majorEastAsia" w:hAnsiTheme="majorEastAsia" w:eastAsiaTheme="majorEastAsia"/>
                <w:color w:val="000000"/>
                <w:sz w:val="24"/>
                <w:szCs w:val="24"/>
              </w:rPr>
              <w:t>）因投标人原因不能及时提供本项目（施工图）预算审核而延误招标时间的；</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w:t>
            </w:r>
            <w:r>
              <w:rPr>
                <w:rFonts w:hint="eastAsia" w:asciiTheme="majorEastAsia" w:hAnsiTheme="majorEastAsia" w:eastAsiaTheme="majorEastAsia"/>
                <w:color w:val="000000"/>
                <w:sz w:val="24"/>
                <w:szCs w:val="24"/>
                <w:lang w:val="en-US" w:eastAsia="zh-CN"/>
              </w:rPr>
              <w:t>3</w:t>
            </w:r>
            <w:r>
              <w:rPr>
                <w:rFonts w:hint="eastAsia" w:asciiTheme="majorEastAsia" w:hAnsiTheme="majorEastAsia" w:eastAsiaTheme="majorEastAsia"/>
                <w:color w:val="000000"/>
                <w:sz w:val="24"/>
                <w:szCs w:val="24"/>
              </w:rPr>
              <w:t>）不服从</w:t>
            </w:r>
            <w:r>
              <w:rPr>
                <w:rFonts w:hint="eastAsia" w:asciiTheme="majorEastAsia" w:hAnsiTheme="majorEastAsia" w:eastAsiaTheme="majorEastAsia"/>
                <w:color w:val="000000"/>
                <w:sz w:val="24"/>
                <w:szCs w:val="24"/>
                <w:lang w:val="en-US" w:eastAsia="zh-CN"/>
              </w:rPr>
              <w:t>招</w:t>
            </w:r>
            <w:r>
              <w:rPr>
                <w:rFonts w:hint="eastAsia" w:asciiTheme="majorEastAsia" w:hAnsiTheme="majorEastAsia" w:eastAsiaTheme="majorEastAsia"/>
                <w:color w:val="000000"/>
                <w:sz w:val="24"/>
                <w:szCs w:val="24"/>
              </w:rPr>
              <w:t xml:space="preserve">标人的工作安排及要求的； </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w:t>
            </w:r>
            <w:r>
              <w:rPr>
                <w:rFonts w:hint="eastAsia" w:asciiTheme="majorEastAsia" w:hAnsiTheme="majorEastAsia" w:eastAsiaTheme="majorEastAsia"/>
                <w:color w:val="000000"/>
                <w:sz w:val="24"/>
                <w:szCs w:val="24"/>
                <w:lang w:val="en-US" w:eastAsia="zh-CN"/>
              </w:rPr>
              <w:t>4</w:t>
            </w:r>
            <w:r>
              <w:rPr>
                <w:rFonts w:hint="eastAsia" w:asciiTheme="majorEastAsia" w:hAnsiTheme="majorEastAsia" w:eastAsiaTheme="majorEastAsia"/>
                <w:color w:val="000000"/>
                <w:sz w:val="24"/>
                <w:szCs w:val="24"/>
              </w:rPr>
              <w:t>)投标人在审核项目（施工图）预算过程中如存在弄虚作假，与他人串通抬高预算造价的行为，招标人有权终止与投标人的合同关系并进行处罚，涉嫌商业贿赂等违法行为的，移交检察院查处。</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4、</w:t>
            </w:r>
            <w:r>
              <w:rPr>
                <w:rFonts w:asciiTheme="majorEastAsia" w:hAnsiTheme="majorEastAsia" w:eastAsiaTheme="majorEastAsia"/>
                <w:color w:val="000000"/>
                <w:sz w:val="24"/>
                <w:szCs w:val="24"/>
              </w:rPr>
              <w:t>投标人应按本合同专用条件第二条的约定客观公正、实事求是地办理全过程造价咨询及相关服务，向招标人提供合法有效的全过程造价咨询及相关服务报告。对于投标人与施工单位、投标单位等单位采取串通、勾结等方式损害招标人利益的，招标人除有权终止合同外，还有权诉诸法律追究其法律责任，投标人须负赔偿责任。</w:t>
            </w:r>
            <w:r>
              <w:rPr>
                <w:rFonts w:hint="eastAsia" w:asciiTheme="majorEastAsia" w:hAnsiTheme="majorEastAsia" w:eastAsiaTheme="majorEastAsia"/>
                <w:color w:val="000000"/>
                <w:sz w:val="24"/>
                <w:szCs w:val="24"/>
              </w:rPr>
              <w:t>投标人提交的正式成果文件的质量达不到招标人要求而被退回的，每次扣减咨询费用0.3万元。</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5、本项目负责人必须按投标承诺的“造价咨询审核服务人员承诺书”中的造价咨询审核服务人员配置。在服务过程中不得更换项目负责人（重病、重伤、离职除外，但需提供相应证明文件），确需变更应征得招标人书面同意，并由服务单位提交相关证明材料报原备案机关登记变更，变更后的人员持证水平不得低于变更前的人员持证水平。同时项目负责人每更换一次，扣减造价咨询审核服务费5万元。项目负责人在本咨询工作的各个阶段须按照招标人要求完成工作内容及协助招标人工作。否则按缺勤处理，每缺勤一次扣减造价咨询审核服务费2000元。</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6、对不服从招标人管理和不履约的投标人项目管理机构人员，经三次警告仍然无效时，招标人有权要求更换，投标人应于5日内更换，直到招标人满意为止。且每人每次扣减造价咨询审核服务费0.5万元。</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lang w:val="en-US" w:eastAsia="zh-CN"/>
              </w:rPr>
              <w:t>7</w:t>
            </w:r>
            <w:r>
              <w:rPr>
                <w:rFonts w:hint="eastAsia" w:asciiTheme="majorEastAsia" w:hAnsiTheme="majorEastAsia" w:eastAsiaTheme="majorEastAsia"/>
                <w:color w:val="000000"/>
                <w:sz w:val="24"/>
                <w:szCs w:val="24"/>
              </w:rPr>
              <w:t>、</w:t>
            </w:r>
            <w:r>
              <w:rPr>
                <w:rFonts w:asciiTheme="majorEastAsia" w:hAnsiTheme="majorEastAsia" w:eastAsiaTheme="majorEastAsia"/>
                <w:color w:val="000000"/>
                <w:sz w:val="24"/>
                <w:szCs w:val="24"/>
              </w:rPr>
              <w:t>按照双方的约定，因投标人原因逾期交付报告的，每逾期一日，应向招标人支付暂定总酬金的万分之五作为违约金。审核报告的编制不符合本合同约定的，投标人应在招标人要求的期限内进行更正，由此造成的逾期交付，按上述约定处理。</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lang w:val="en-US" w:eastAsia="zh-CN"/>
              </w:rPr>
              <w:t>8</w:t>
            </w:r>
            <w:r>
              <w:rPr>
                <w:rFonts w:hint="eastAsia" w:asciiTheme="majorEastAsia" w:hAnsiTheme="majorEastAsia" w:eastAsiaTheme="majorEastAsia"/>
                <w:color w:val="000000"/>
                <w:sz w:val="24"/>
                <w:szCs w:val="24"/>
              </w:rPr>
              <w:t>、以上罚款及</w:t>
            </w:r>
            <w:r>
              <w:rPr>
                <w:rFonts w:asciiTheme="majorEastAsia" w:hAnsiTheme="majorEastAsia" w:eastAsiaTheme="majorEastAsia"/>
                <w:color w:val="000000"/>
                <w:sz w:val="24"/>
                <w:szCs w:val="24"/>
              </w:rPr>
              <w:t>违约金可以在酬金中直接扣除。</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lang w:val="en-US" w:eastAsia="zh-CN"/>
              </w:rPr>
              <w:t>9</w:t>
            </w:r>
            <w:r>
              <w:rPr>
                <w:rFonts w:hint="eastAsia" w:asciiTheme="majorEastAsia" w:hAnsiTheme="majorEastAsia" w:eastAsiaTheme="majorEastAsia"/>
                <w:color w:val="000000"/>
                <w:sz w:val="24"/>
                <w:szCs w:val="24"/>
              </w:rPr>
              <w:t>、</w:t>
            </w:r>
            <w:r>
              <w:rPr>
                <w:rFonts w:asciiTheme="majorEastAsia" w:hAnsiTheme="majorEastAsia" w:eastAsiaTheme="majorEastAsia"/>
                <w:color w:val="000000"/>
                <w:sz w:val="24"/>
                <w:szCs w:val="24"/>
              </w:rPr>
              <w:t>投标人应在签订本合同后10天内，向招标人提交</w:t>
            </w:r>
            <w:r>
              <w:rPr>
                <w:rFonts w:hint="eastAsia" w:asciiTheme="majorEastAsia" w:hAnsiTheme="majorEastAsia" w:eastAsiaTheme="majorEastAsia"/>
                <w:color w:val="000000"/>
                <w:sz w:val="24"/>
                <w:szCs w:val="24"/>
              </w:rPr>
              <w:t>合同价10%</w:t>
            </w:r>
            <w:r>
              <w:rPr>
                <w:rFonts w:asciiTheme="majorEastAsia" w:hAnsiTheme="majorEastAsia" w:eastAsiaTheme="majorEastAsia"/>
                <w:color w:val="000000"/>
                <w:sz w:val="24"/>
                <w:szCs w:val="24"/>
              </w:rPr>
              <w:t>的履约保证金。工程结算最终定审后，投标人可以向招标人申请退还履约保证金，招标人应在收到申请后10天内退还给投标人。</w:t>
            </w:r>
          </w:p>
          <w:p>
            <w:pPr>
              <w:numPr>
                <w:ilvl w:val="255"/>
                <w:numId w:val="0"/>
              </w:numPr>
              <w:spacing w:line="360" w:lineRule="auto"/>
              <w:ind w:right="150"/>
              <w:jc w:val="left"/>
              <w:rPr>
                <w:rFonts w:asciiTheme="majorEastAsia" w:hAnsiTheme="majorEastAsia" w:eastAsiaTheme="majorEastAsia"/>
                <w:sz w:val="24"/>
                <w:szCs w:val="24"/>
              </w:rPr>
            </w:pPr>
            <w:r>
              <w:rPr>
                <w:rFonts w:hint="eastAsia" w:asciiTheme="majorEastAsia" w:hAnsiTheme="majorEastAsia" w:eastAsiaTheme="majorEastAsia"/>
                <w:color w:val="000000"/>
                <w:sz w:val="24"/>
                <w:szCs w:val="24"/>
              </w:rPr>
              <w:t>1</w:t>
            </w:r>
            <w:r>
              <w:rPr>
                <w:rFonts w:hint="eastAsia" w:asciiTheme="majorEastAsia" w:hAnsiTheme="majorEastAsia" w:eastAsiaTheme="majorEastAsia"/>
                <w:color w:val="000000"/>
                <w:sz w:val="24"/>
                <w:szCs w:val="24"/>
                <w:lang w:val="en-US" w:eastAsia="zh-CN"/>
              </w:rPr>
              <w:t>0</w:t>
            </w:r>
            <w:r>
              <w:rPr>
                <w:rFonts w:hint="eastAsia" w:asciiTheme="majorEastAsia" w:hAnsiTheme="majorEastAsia" w:eastAsiaTheme="majorEastAsia"/>
                <w:color w:val="000000"/>
                <w:sz w:val="24"/>
                <w:szCs w:val="24"/>
              </w:rPr>
              <w:t>、</w:t>
            </w:r>
            <w:r>
              <w:rPr>
                <w:rFonts w:asciiTheme="majorEastAsia" w:hAnsiTheme="majorEastAsia" w:eastAsiaTheme="majorEastAsia"/>
                <w:color w:val="000000"/>
                <w:sz w:val="24"/>
                <w:szCs w:val="24"/>
              </w:rPr>
              <w:t>投标人不得无故拒绝招标人委托的全过程造价咨询及相关服务，否则招标人有权解除合同，要求投标人退还已收款项并没收履约保证金。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jc w:val="center"/>
        </w:trPr>
        <w:tc>
          <w:tcPr>
            <w:tcW w:w="904" w:type="dxa"/>
            <w:vAlign w:val="center"/>
          </w:tcPr>
          <w:p>
            <w:pPr>
              <w:pStyle w:val="4"/>
              <w:spacing w:after="0"/>
              <w:ind w:firstLine="240" w:firstLineChars="100"/>
              <w:rPr>
                <w:rFonts w:asciiTheme="majorEastAsia" w:hAnsiTheme="majorEastAsia" w:eastAsiaTheme="majorEastAsia"/>
                <w:sz w:val="24"/>
                <w:szCs w:val="24"/>
              </w:rPr>
            </w:pPr>
            <w:r>
              <w:rPr>
                <w:rFonts w:hint="eastAsia" w:asciiTheme="majorEastAsia" w:hAnsiTheme="majorEastAsia" w:eastAsiaTheme="majorEastAsia"/>
                <w:sz w:val="24"/>
                <w:szCs w:val="24"/>
              </w:rPr>
              <w:t>9</w:t>
            </w:r>
          </w:p>
        </w:tc>
        <w:tc>
          <w:tcPr>
            <w:tcW w:w="1418" w:type="dxa"/>
            <w:vAlign w:val="center"/>
          </w:tcPr>
          <w:p>
            <w:pPr>
              <w:pStyle w:val="4"/>
              <w:spacing w:after="0"/>
              <w:ind w:firstLine="34"/>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成果交付</w:t>
            </w:r>
          </w:p>
        </w:tc>
        <w:tc>
          <w:tcPr>
            <w:tcW w:w="7422" w:type="dxa"/>
            <w:vAlign w:val="center"/>
          </w:tcPr>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（1）提交概算审核成果的纸质文件（含审核报告书）为一式贰份，电子文件（光盘）壹份；</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（2）提交完整的送审版项目预算（施工图预算）、审核报告书的纸质文件一式贰份，电子文件（光盘）一式贰份；</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（3）提交审定版项目（施工图）预算成果的纸质文件为一式柒份，电子文件（光盘）一式贰份；</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（4）因设计变更而造成的增减工程造价成果、审核报告书的纸质文件一式伍份，电子文件（光盘）一式贰份；</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（5）工程进度款的审核成果的纸质文件一式叁份；</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 xml:space="preserve">（6）工程结算的审核成果、审核报告书的纸质文件一式叁份，电子文件（光盘）一式贰份； </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（7）服务成果数量及格式如果需要调整，应根据招标人要求进行调整，招标人无需另外支付费用。</w:t>
            </w:r>
          </w:p>
          <w:p>
            <w:pPr>
              <w:numPr>
                <w:ilvl w:val="255"/>
                <w:numId w:val="0"/>
              </w:numPr>
              <w:spacing w:line="360" w:lineRule="auto"/>
              <w:ind w:right="150"/>
              <w:jc w:val="left"/>
              <w:rPr>
                <w:rFonts w:asciiTheme="majorEastAsia" w:hAnsiTheme="majorEastAsia" w:eastAsiaTheme="majorEastAsia"/>
                <w:color w:val="000000"/>
                <w:sz w:val="24"/>
                <w:szCs w:val="24"/>
              </w:rPr>
            </w:pPr>
            <w:r>
              <w:rPr>
                <w:rFonts w:hint="eastAsia" w:asciiTheme="majorEastAsia" w:hAnsiTheme="majorEastAsia" w:eastAsiaTheme="majorEastAsia"/>
                <w:color w:val="000000"/>
                <w:sz w:val="24"/>
                <w:szCs w:val="24"/>
              </w:rPr>
              <w:t>（8）软件要求：投标人提供的电子文件所使用的造价软件必须与审核单位所采用的计价软件一致。</w:t>
            </w:r>
          </w:p>
        </w:tc>
      </w:tr>
    </w:tbl>
    <w:p>
      <w:pPr>
        <w:rPr>
          <w:rFonts w:ascii="宋体" w:hAnsi="宋体" w:cs="宋体"/>
          <w:b/>
          <w:bCs/>
          <w:kern w:val="0"/>
          <w:szCs w:val="21"/>
          <w:highlight w:val="yellow"/>
        </w:rPr>
      </w:pPr>
    </w:p>
    <w:tbl>
      <w:tblPr>
        <w:tblStyle w:val="24"/>
        <w:tblW w:w="100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2029"/>
        <w:gridCol w:w="1589"/>
        <w:gridCol w:w="1462"/>
        <w:gridCol w:w="1878"/>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jc w:val="center"/>
        </w:trPr>
        <w:tc>
          <w:tcPr>
            <w:tcW w:w="10020" w:type="dxa"/>
            <w:gridSpan w:val="6"/>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本文件责任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jc w:val="center"/>
        </w:trPr>
        <w:tc>
          <w:tcPr>
            <w:tcW w:w="1391"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责任</w:t>
            </w:r>
          </w:p>
        </w:tc>
        <w:tc>
          <w:tcPr>
            <w:tcW w:w="2029"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签名</w:t>
            </w:r>
          </w:p>
        </w:tc>
        <w:tc>
          <w:tcPr>
            <w:tcW w:w="1589"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日期</w:t>
            </w:r>
          </w:p>
        </w:tc>
        <w:tc>
          <w:tcPr>
            <w:tcW w:w="1462"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责任</w:t>
            </w:r>
          </w:p>
        </w:tc>
        <w:tc>
          <w:tcPr>
            <w:tcW w:w="1878"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签名</w:t>
            </w:r>
          </w:p>
        </w:tc>
        <w:tc>
          <w:tcPr>
            <w:tcW w:w="1671"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jc w:val="center"/>
        </w:trPr>
        <w:tc>
          <w:tcPr>
            <w:tcW w:w="1391"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编制</w:t>
            </w:r>
          </w:p>
        </w:tc>
        <w:tc>
          <w:tcPr>
            <w:tcW w:w="2029" w:type="dxa"/>
            <w:noWrap w:val="0"/>
            <w:vAlign w:val="center"/>
          </w:tcPr>
          <w:p>
            <w:pPr>
              <w:spacing w:line="360" w:lineRule="auto"/>
              <w:jc w:val="center"/>
              <w:rPr>
                <w:rFonts w:hint="eastAsia" w:ascii="宋体" w:hAnsi="宋体" w:cs="宋体"/>
                <w:color w:val="auto"/>
                <w:sz w:val="24"/>
                <w:highlight w:val="none"/>
              </w:rPr>
            </w:pPr>
          </w:p>
        </w:tc>
        <w:tc>
          <w:tcPr>
            <w:tcW w:w="1589" w:type="dxa"/>
            <w:noWrap w:val="0"/>
            <w:vAlign w:val="center"/>
          </w:tcPr>
          <w:p>
            <w:pPr>
              <w:spacing w:line="360" w:lineRule="auto"/>
              <w:jc w:val="center"/>
              <w:rPr>
                <w:rFonts w:hint="eastAsia" w:ascii="宋体" w:hAnsi="宋体" w:cs="宋体"/>
                <w:color w:val="auto"/>
                <w:sz w:val="24"/>
                <w:highlight w:val="none"/>
              </w:rPr>
            </w:pPr>
          </w:p>
        </w:tc>
        <w:tc>
          <w:tcPr>
            <w:tcW w:w="1462"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复核</w:t>
            </w:r>
          </w:p>
        </w:tc>
        <w:tc>
          <w:tcPr>
            <w:tcW w:w="1878" w:type="dxa"/>
            <w:noWrap w:val="0"/>
            <w:vAlign w:val="center"/>
          </w:tcPr>
          <w:p>
            <w:pPr>
              <w:spacing w:line="360" w:lineRule="auto"/>
              <w:jc w:val="center"/>
              <w:rPr>
                <w:rFonts w:hint="eastAsia" w:ascii="宋体" w:hAnsi="宋体" w:cs="宋体"/>
                <w:color w:val="auto"/>
                <w:sz w:val="24"/>
                <w:highlight w:val="none"/>
              </w:rPr>
            </w:pPr>
          </w:p>
        </w:tc>
        <w:tc>
          <w:tcPr>
            <w:tcW w:w="1671" w:type="dxa"/>
            <w:noWrap w:val="0"/>
            <w:vAlign w:val="center"/>
          </w:tcPr>
          <w:p>
            <w:pPr>
              <w:spacing w:line="360" w:lineRule="auto"/>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jc w:val="center"/>
        </w:trPr>
        <w:tc>
          <w:tcPr>
            <w:tcW w:w="1391"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审核</w:t>
            </w:r>
          </w:p>
        </w:tc>
        <w:tc>
          <w:tcPr>
            <w:tcW w:w="2029" w:type="dxa"/>
            <w:noWrap w:val="0"/>
            <w:vAlign w:val="center"/>
          </w:tcPr>
          <w:p>
            <w:pPr>
              <w:spacing w:line="360" w:lineRule="auto"/>
              <w:jc w:val="center"/>
              <w:rPr>
                <w:rFonts w:hint="eastAsia" w:ascii="宋体" w:hAnsi="宋体" w:cs="宋体"/>
                <w:color w:val="auto"/>
                <w:sz w:val="24"/>
                <w:highlight w:val="none"/>
              </w:rPr>
            </w:pPr>
          </w:p>
        </w:tc>
        <w:tc>
          <w:tcPr>
            <w:tcW w:w="1589" w:type="dxa"/>
            <w:noWrap w:val="0"/>
            <w:vAlign w:val="center"/>
          </w:tcPr>
          <w:p>
            <w:pPr>
              <w:spacing w:line="360" w:lineRule="auto"/>
              <w:jc w:val="center"/>
              <w:rPr>
                <w:rFonts w:hint="eastAsia" w:ascii="宋体" w:hAnsi="宋体" w:cs="宋体"/>
                <w:color w:val="auto"/>
                <w:sz w:val="24"/>
                <w:highlight w:val="none"/>
              </w:rPr>
            </w:pPr>
          </w:p>
        </w:tc>
        <w:tc>
          <w:tcPr>
            <w:tcW w:w="1462"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QA审核</w:t>
            </w:r>
          </w:p>
        </w:tc>
        <w:tc>
          <w:tcPr>
            <w:tcW w:w="1878" w:type="dxa"/>
            <w:noWrap w:val="0"/>
            <w:vAlign w:val="center"/>
          </w:tcPr>
          <w:p>
            <w:pPr>
              <w:spacing w:line="360" w:lineRule="auto"/>
              <w:jc w:val="center"/>
              <w:rPr>
                <w:rFonts w:hint="eastAsia" w:ascii="宋体" w:hAnsi="宋体" w:cs="宋体"/>
                <w:color w:val="auto"/>
                <w:sz w:val="24"/>
                <w:highlight w:val="none"/>
              </w:rPr>
            </w:pPr>
          </w:p>
        </w:tc>
        <w:tc>
          <w:tcPr>
            <w:tcW w:w="1671" w:type="dxa"/>
            <w:noWrap w:val="0"/>
            <w:vAlign w:val="center"/>
          </w:tcPr>
          <w:p>
            <w:pPr>
              <w:spacing w:line="360" w:lineRule="auto"/>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9" w:hRule="atLeast"/>
          <w:jc w:val="center"/>
        </w:trPr>
        <w:tc>
          <w:tcPr>
            <w:tcW w:w="1391"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批准</w:t>
            </w:r>
          </w:p>
        </w:tc>
        <w:tc>
          <w:tcPr>
            <w:tcW w:w="2029" w:type="dxa"/>
            <w:noWrap w:val="0"/>
            <w:vAlign w:val="center"/>
          </w:tcPr>
          <w:p>
            <w:pPr>
              <w:spacing w:line="360" w:lineRule="auto"/>
              <w:jc w:val="center"/>
              <w:rPr>
                <w:rFonts w:hint="eastAsia" w:ascii="宋体" w:hAnsi="宋体" w:cs="宋体"/>
                <w:color w:val="auto"/>
                <w:sz w:val="24"/>
                <w:highlight w:val="none"/>
              </w:rPr>
            </w:pPr>
          </w:p>
        </w:tc>
        <w:tc>
          <w:tcPr>
            <w:tcW w:w="1589" w:type="dxa"/>
            <w:noWrap w:val="0"/>
            <w:vAlign w:val="center"/>
          </w:tcPr>
          <w:p>
            <w:pPr>
              <w:spacing w:line="360" w:lineRule="auto"/>
              <w:jc w:val="center"/>
              <w:rPr>
                <w:rFonts w:hint="eastAsia" w:ascii="宋体" w:hAnsi="宋体" w:cs="宋体"/>
                <w:color w:val="auto"/>
                <w:sz w:val="24"/>
                <w:highlight w:val="none"/>
              </w:rPr>
            </w:pPr>
          </w:p>
        </w:tc>
        <w:tc>
          <w:tcPr>
            <w:tcW w:w="1462" w:type="dxa"/>
            <w:noWrap w:val="0"/>
            <w:vAlign w:val="center"/>
          </w:tcPr>
          <w:p>
            <w:pPr>
              <w:spacing w:line="360" w:lineRule="auto"/>
              <w:jc w:val="center"/>
              <w:rPr>
                <w:rFonts w:hint="eastAsia" w:ascii="宋体" w:hAnsi="宋体" w:cs="宋体"/>
                <w:color w:val="auto"/>
                <w:sz w:val="24"/>
                <w:highlight w:val="none"/>
              </w:rPr>
            </w:pPr>
          </w:p>
        </w:tc>
        <w:tc>
          <w:tcPr>
            <w:tcW w:w="1878" w:type="dxa"/>
            <w:noWrap w:val="0"/>
            <w:vAlign w:val="center"/>
          </w:tcPr>
          <w:p>
            <w:pPr>
              <w:spacing w:line="360" w:lineRule="auto"/>
              <w:jc w:val="center"/>
              <w:rPr>
                <w:rFonts w:hint="eastAsia" w:ascii="宋体" w:hAnsi="宋体" w:cs="宋体"/>
                <w:color w:val="auto"/>
                <w:sz w:val="24"/>
                <w:highlight w:val="none"/>
              </w:rPr>
            </w:pPr>
          </w:p>
        </w:tc>
        <w:tc>
          <w:tcPr>
            <w:tcW w:w="1671" w:type="dxa"/>
            <w:noWrap w:val="0"/>
            <w:vAlign w:val="center"/>
          </w:tcPr>
          <w:p>
            <w:pPr>
              <w:spacing w:line="360" w:lineRule="auto"/>
              <w:jc w:val="center"/>
              <w:rPr>
                <w:rFonts w:hint="eastAsia" w:ascii="宋体" w:hAnsi="宋体" w:cs="宋体"/>
                <w:color w:val="auto"/>
                <w:sz w:val="24"/>
                <w:highlight w:val="none"/>
              </w:rPr>
            </w:pPr>
          </w:p>
        </w:tc>
      </w:tr>
    </w:tbl>
    <w:p>
      <w:pPr>
        <w:rPr>
          <w:rFonts w:ascii="宋体" w:hAnsi="宋体" w:cs="宋体"/>
          <w:b/>
          <w:bCs/>
          <w:kern w:val="0"/>
          <w:szCs w:val="21"/>
          <w:highlight w:val="yellow"/>
        </w:rPr>
      </w:pPr>
    </w:p>
    <w:sectPr>
      <w:headerReference r:id="rId3" w:type="default"/>
      <w:footerReference r:id="rId4" w:type="default"/>
      <w:footerReference r:id="rId5" w:type="even"/>
      <w:pgSz w:w="11906" w:h="16838"/>
      <w:pgMar w:top="1418" w:right="624" w:bottom="1134" w:left="624" w:header="851" w:footer="851"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长城仿宋">
    <w:altName w:val="新宋体"/>
    <w:panose1 w:val="00000000000000000000"/>
    <w:charset w:val="86"/>
    <w:family w:val="modern"/>
    <w:pitch w:val="default"/>
    <w:sig w:usb0="00000000" w:usb1="00000000" w:usb2="00000010" w:usb3="00000000" w:csb0="00040000" w:csb1="00000000"/>
  </w:font>
  <w:font w:name="Droid Sans Fallback">
    <w:altName w:val="微软雅黑"/>
    <w:panose1 w:val="00000000000000000000"/>
    <w:charset w:val="00"/>
    <w:family w:val="swiss"/>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360"/>
      <w:jc w:val="center"/>
    </w:pPr>
    <w:r>
      <w:rPr>
        <w:rStyle w:val="29"/>
      </w:rPr>
      <w:fldChar w:fldCharType="begin"/>
    </w:r>
    <w:r>
      <w:rPr>
        <w:rStyle w:val="29"/>
      </w:rPr>
      <w:instrText xml:space="preserve"> PAGE </w:instrText>
    </w:r>
    <w:r>
      <w:rPr>
        <w:rStyle w:val="29"/>
      </w:rPr>
      <w:fldChar w:fldCharType="separate"/>
    </w:r>
    <w:r>
      <w:rPr>
        <w:rStyle w:val="29"/>
      </w:rPr>
      <w:t>11</w:t>
    </w:r>
    <w:r>
      <w:rPr>
        <w:rStyle w:val="2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29"/>
      </w:rPr>
    </w:pPr>
    <w:r>
      <w:rPr>
        <w:rStyle w:val="29"/>
      </w:rPr>
      <w:fldChar w:fldCharType="begin"/>
    </w:r>
    <w:r>
      <w:rPr>
        <w:rStyle w:val="29"/>
      </w:rPr>
      <w:instrText xml:space="preserve">PAGE  </w:instrText>
    </w:r>
    <w:r>
      <w:rPr>
        <w:rStyle w:val="29"/>
      </w:rPr>
      <w:fldChar w:fldCharType="separate"/>
    </w:r>
    <w:r>
      <w:rPr>
        <w:rStyle w:val="29"/>
      </w:rPr>
      <w:t>1</w:t>
    </w:r>
    <w:r>
      <w:rPr>
        <w:rStyle w:val="29"/>
      </w:rPr>
      <w:fldChar w:fldCharType="end"/>
    </w:r>
  </w:p>
  <w:p>
    <w:pPr>
      <w:pStyle w:val="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905B5"/>
    <w:multiLevelType w:val="multilevel"/>
    <w:tmpl w:val="259905B5"/>
    <w:lvl w:ilvl="0" w:tentative="0">
      <w:start w:val="1"/>
      <w:numFmt w:val="chineseCountingThousand"/>
      <w:suff w:val="space"/>
      <w:lvlText w:val="第%1章"/>
      <w:lvlJc w:val="left"/>
      <w:pPr>
        <w:ind w:left="567" w:hanging="279"/>
      </w:pPr>
      <w:rPr>
        <w:rFonts w:hint="eastAsia" w:ascii="宋体" w:eastAsia="宋体"/>
        <w:b/>
        <w:i w:val="0"/>
        <w:spacing w:val="0"/>
        <w:position w:val="0"/>
        <w:sz w:val="44"/>
      </w:rPr>
    </w:lvl>
    <w:lvl w:ilvl="1" w:tentative="0">
      <w:start w:val="1"/>
      <w:numFmt w:val="decimal"/>
      <w:suff w:val="space"/>
      <w:lvlText w:val="%2."/>
      <w:lvlJc w:val="left"/>
      <w:pPr>
        <w:ind w:left="454" w:hanging="454"/>
      </w:pPr>
      <w:rPr>
        <w:rFonts w:hint="eastAsia" w:ascii="宋体" w:eastAsia="宋体"/>
        <w:b/>
        <w:i w:val="0"/>
        <w:sz w:val="32"/>
      </w:rPr>
    </w:lvl>
    <w:lvl w:ilvl="2" w:tentative="0">
      <w:start w:val="1"/>
      <w:numFmt w:val="decimal"/>
      <w:suff w:val="space"/>
      <w:lvlText w:val="%2.%3"/>
      <w:lvlJc w:val="left"/>
      <w:pPr>
        <w:ind w:left="454" w:hanging="454"/>
      </w:pPr>
      <w:rPr>
        <w:rFonts w:hint="eastAsia" w:ascii="宋体" w:eastAsia="宋体"/>
        <w:b/>
        <w:i w:val="0"/>
        <w:sz w:val="28"/>
      </w:rPr>
    </w:lvl>
    <w:lvl w:ilvl="3" w:tentative="0">
      <w:start w:val="1"/>
      <w:numFmt w:val="decimal"/>
      <w:pStyle w:val="8"/>
      <w:suff w:val="space"/>
      <w:lvlText w:val="%2.%3.%4_x0001__x0003_"/>
      <w:lvlJc w:val="left"/>
      <w:pPr>
        <w:ind w:left="284" w:hanging="284"/>
      </w:pPr>
      <w:rPr>
        <w:rFonts w:hint="eastAsia" w:ascii="宋体" w:eastAsia="宋体"/>
        <w:b/>
        <w:i w:val="0"/>
        <w:sz w:val="28"/>
      </w:rPr>
    </w:lvl>
    <w:lvl w:ilvl="4" w:tentative="0">
      <w:start w:val="1"/>
      <w:numFmt w:val="decimal"/>
      <w:pStyle w:val="10"/>
      <w:isLgl/>
      <w:suff w:val="space"/>
      <w:lvlText w:val="%2.%3.%4.%5"/>
      <w:lvlJc w:val="left"/>
      <w:pPr>
        <w:ind w:left="284" w:hanging="284"/>
      </w:pPr>
      <w:rPr>
        <w:rFonts w:hint="eastAsia" w:ascii="宋体" w:eastAsia="宋体"/>
        <w:b/>
        <w:i w:val="0"/>
        <w:strike w:val="0"/>
        <w:dstrike w:val="0"/>
        <w:sz w:val="28"/>
      </w:rPr>
    </w:lvl>
    <w:lvl w:ilvl="5" w:tentative="0">
      <w:start w:val="1"/>
      <w:numFmt w:val="decimal"/>
      <w:lvlRestart w:val="0"/>
      <w:suff w:val="space"/>
      <w:lvlText w:val="1.1.1.1.1.%6%5"/>
      <w:lvlJc w:val="left"/>
      <w:pPr>
        <w:ind w:left="0" w:firstLine="0"/>
      </w:pPr>
      <w:rPr>
        <w:rFonts w:hint="eastAsia" w:ascii="宋体" w:eastAsia="宋体"/>
        <w:b/>
        <w:i w:val="0"/>
        <w:sz w:val="28"/>
      </w:rPr>
    </w:lvl>
    <w:lvl w:ilvl="6" w:tentative="0">
      <w:start w:val="1"/>
      <w:numFmt w:val="none"/>
      <w:pStyle w:val="11"/>
      <w:suff w:val="nothing"/>
      <w:lvlText w:val=""/>
      <w:lvlJc w:val="left"/>
      <w:pPr>
        <w:ind w:left="0" w:firstLine="0"/>
      </w:pPr>
      <w:rPr>
        <w:rFonts w:hint="eastAsia"/>
      </w:rPr>
    </w:lvl>
    <w:lvl w:ilvl="7" w:tentative="0">
      <w:start w:val="1"/>
      <w:numFmt w:val="none"/>
      <w:pStyle w:val="12"/>
      <w:suff w:val="nothing"/>
      <w:lvlText w:val=""/>
      <w:lvlJc w:val="left"/>
      <w:pPr>
        <w:ind w:left="0" w:firstLine="0"/>
      </w:pPr>
      <w:rPr>
        <w:rFonts w:hint="eastAsia"/>
      </w:rPr>
    </w:lvl>
    <w:lvl w:ilvl="8" w:tentative="0">
      <w:start w:val="1"/>
      <w:numFmt w:val="none"/>
      <w:pStyle w:val="13"/>
      <w:suff w:val="nothing"/>
      <w:lvlText w:val=""/>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70146"/>
    <w:rsid w:val="00000370"/>
    <w:rsid w:val="000038D1"/>
    <w:rsid w:val="000055D5"/>
    <w:rsid w:val="00005709"/>
    <w:rsid w:val="0001103A"/>
    <w:rsid w:val="00012339"/>
    <w:rsid w:val="00015C49"/>
    <w:rsid w:val="00016CB5"/>
    <w:rsid w:val="0002141F"/>
    <w:rsid w:val="00021492"/>
    <w:rsid w:val="000241AF"/>
    <w:rsid w:val="00024DB6"/>
    <w:rsid w:val="00025455"/>
    <w:rsid w:val="0003282B"/>
    <w:rsid w:val="00036CEB"/>
    <w:rsid w:val="0004564C"/>
    <w:rsid w:val="000517AD"/>
    <w:rsid w:val="00056877"/>
    <w:rsid w:val="00056B09"/>
    <w:rsid w:val="00057931"/>
    <w:rsid w:val="00063E96"/>
    <w:rsid w:val="00065903"/>
    <w:rsid w:val="00074E51"/>
    <w:rsid w:val="00075F9C"/>
    <w:rsid w:val="00077EC8"/>
    <w:rsid w:val="000818B6"/>
    <w:rsid w:val="0008203D"/>
    <w:rsid w:val="000831B1"/>
    <w:rsid w:val="00083A55"/>
    <w:rsid w:val="0008508C"/>
    <w:rsid w:val="000905DB"/>
    <w:rsid w:val="00091AD5"/>
    <w:rsid w:val="000974F1"/>
    <w:rsid w:val="000A4158"/>
    <w:rsid w:val="000B3DA8"/>
    <w:rsid w:val="000B4936"/>
    <w:rsid w:val="000B6626"/>
    <w:rsid w:val="000C04C1"/>
    <w:rsid w:val="000C102E"/>
    <w:rsid w:val="000C7B15"/>
    <w:rsid w:val="000D2E26"/>
    <w:rsid w:val="000D5BDE"/>
    <w:rsid w:val="000D600B"/>
    <w:rsid w:val="000E023C"/>
    <w:rsid w:val="000E02B4"/>
    <w:rsid w:val="000E7F61"/>
    <w:rsid w:val="000F430E"/>
    <w:rsid w:val="0010113A"/>
    <w:rsid w:val="0010787E"/>
    <w:rsid w:val="00111F75"/>
    <w:rsid w:val="00112F4A"/>
    <w:rsid w:val="00122657"/>
    <w:rsid w:val="00123686"/>
    <w:rsid w:val="00126169"/>
    <w:rsid w:val="00127F11"/>
    <w:rsid w:val="0013198F"/>
    <w:rsid w:val="001331C3"/>
    <w:rsid w:val="00134963"/>
    <w:rsid w:val="00135CE8"/>
    <w:rsid w:val="001363A0"/>
    <w:rsid w:val="00137132"/>
    <w:rsid w:val="00137EAD"/>
    <w:rsid w:val="0015041D"/>
    <w:rsid w:val="00152251"/>
    <w:rsid w:val="00154E71"/>
    <w:rsid w:val="00156C59"/>
    <w:rsid w:val="0016290A"/>
    <w:rsid w:val="00163870"/>
    <w:rsid w:val="00170D11"/>
    <w:rsid w:val="00171FB7"/>
    <w:rsid w:val="001755C8"/>
    <w:rsid w:val="00176458"/>
    <w:rsid w:val="00176E1C"/>
    <w:rsid w:val="001772B9"/>
    <w:rsid w:val="001876F8"/>
    <w:rsid w:val="00191158"/>
    <w:rsid w:val="00191CA7"/>
    <w:rsid w:val="00194DD3"/>
    <w:rsid w:val="001A04DA"/>
    <w:rsid w:val="001A27DE"/>
    <w:rsid w:val="001B0737"/>
    <w:rsid w:val="001B6162"/>
    <w:rsid w:val="001B6C2B"/>
    <w:rsid w:val="001C2451"/>
    <w:rsid w:val="001C3054"/>
    <w:rsid w:val="001C59D3"/>
    <w:rsid w:val="001D0873"/>
    <w:rsid w:val="001D4260"/>
    <w:rsid w:val="001D5118"/>
    <w:rsid w:val="001E2A53"/>
    <w:rsid w:val="001E7E49"/>
    <w:rsid w:val="001F0915"/>
    <w:rsid w:val="001F1555"/>
    <w:rsid w:val="001F1AEC"/>
    <w:rsid w:val="001F1B48"/>
    <w:rsid w:val="001F7BC6"/>
    <w:rsid w:val="002032E1"/>
    <w:rsid w:val="002155AB"/>
    <w:rsid w:val="002225CE"/>
    <w:rsid w:val="00223BA4"/>
    <w:rsid w:val="00232FB2"/>
    <w:rsid w:val="00232FBD"/>
    <w:rsid w:val="00234A1E"/>
    <w:rsid w:val="00241221"/>
    <w:rsid w:val="00252736"/>
    <w:rsid w:val="0025716B"/>
    <w:rsid w:val="002615DD"/>
    <w:rsid w:val="00262A16"/>
    <w:rsid w:val="002645E6"/>
    <w:rsid w:val="002664AA"/>
    <w:rsid w:val="00270045"/>
    <w:rsid w:val="002716A7"/>
    <w:rsid w:val="002754F2"/>
    <w:rsid w:val="002775FE"/>
    <w:rsid w:val="002800FE"/>
    <w:rsid w:val="002839B6"/>
    <w:rsid w:val="00284433"/>
    <w:rsid w:val="00285565"/>
    <w:rsid w:val="00293B52"/>
    <w:rsid w:val="00295EFB"/>
    <w:rsid w:val="002A4EA2"/>
    <w:rsid w:val="002A5C7A"/>
    <w:rsid w:val="002B22B2"/>
    <w:rsid w:val="002B2878"/>
    <w:rsid w:val="002B31B1"/>
    <w:rsid w:val="002B7A36"/>
    <w:rsid w:val="002C17A2"/>
    <w:rsid w:val="002C1F52"/>
    <w:rsid w:val="002D275D"/>
    <w:rsid w:val="002D3807"/>
    <w:rsid w:val="002E00D5"/>
    <w:rsid w:val="002E419A"/>
    <w:rsid w:val="002E6691"/>
    <w:rsid w:val="002F206E"/>
    <w:rsid w:val="0030284F"/>
    <w:rsid w:val="00305EC8"/>
    <w:rsid w:val="00310987"/>
    <w:rsid w:val="00313C1A"/>
    <w:rsid w:val="003174FA"/>
    <w:rsid w:val="0032058D"/>
    <w:rsid w:val="00322447"/>
    <w:rsid w:val="00327A04"/>
    <w:rsid w:val="00332A04"/>
    <w:rsid w:val="003409EB"/>
    <w:rsid w:val="00344A2E"/>
    <w:rsid w:val="00353AB7"/>
    <w:rsid w:val="00371CF1"/>
    <w:rsid w:val="00377C62"/>
    <w:rsid w:val="00382921"/>
    <w:rsid w:val="00383BFF"/>
    <w:rsid w:val="00391E28"/>
    <w:rsid w:val="00391EE2"/>
    <w:rsid w:val="00395FD5"/>
    <w:rsid w:val="003A2589"/>
    <w:rsid w:val="003B29E2"/>
    <w:rsid w:val="003D5ABB"/>
    <w:rsid w:val="003D7CB2"/>
    <w:rsid w:val="003E3671"/>
    <w:rsid w:val="003F3610"/>
    <w:rsid w:val="003F3FF0"/>
    <w:rsid w:val="00400596"/>
    <w:rsid w:val="00405955"/>
    <w:rsid w:val="00410E3B"/>
    <w:rsid w:val="00411360"/>
    <w:rsid w:val="00416BCE"/>
    <w:rsid w:val="004222DD"/>
    <w:rsid w:val="00424BD5"/>
    <w:rsid w:val="0042623D"/>
    <w:rsid w:val="00431A08"/>
    <w:rsid w:val="0043247E"/>
    <w:rsid w:val="00442642"/>
    <w:rsid w:val="00443F6B"/>
    <w:rsid w:val="00445A7E"/>
    <w:rsid w:val="00453C8F"/>
    <w:rsid w:val="0046462B"/>
    <w:rsid w:val="00465464"/>
    <w:rsid w:val="004655C1"/>
    <w:rsid w:val="0046746E"/>
    <w:rsid w:val="00471A54"/>
    <w:rsid w:val="0047503B"/>
    <w:rsid w:val="004755B2"/>
    <w:rsid w:val="0047580A"/>
    <w:rsid w:val="00475AE6"/>
    <w:rsid w:val="0048352A"/>
    <w:rsid w:val="00484C98"/>
    <w:rsid w:val="00490E99"/>
    <w:rsid w:val="00492E62"/>
    <w:rsid w:val="004A32B0"/>
    <w:rsid w:val="004A49DF"/>
    <w:rsid w:val="004A5C23"/>
    <w:rsid w:val="004B6ADF"/>
    <w:rsid w:val="004C1A23"/>
    <w:rsid w:val="004C396F"/>
    <w:rsid w:val="004C3CAA"/>
    <w:rsid w:val="004C573F"/>
    <w:rsid w:val="004D24BD"/>
    <w:rsid w:val="004D3183"/>
    <w:rsid w:val="004D5494"/>
    <w:rsid w:val="004D635A"/>
    <w:rsid w:val="004D6BF8"/>
    <w:rsid w:val="004E38C7"/>
    <w:rsid w:val="004E3BC7"/>
    <w:rsid w:val="004F26F8"/>
    <w:rsid w:val="004F3A38"/>
    <w:rsid w:val="004F3BED"/>
    <w:rsid w:val="004F793E"/>
    <w:rsid w:val="00501D67"/>
    <w:rsid w:val="0050318F"/>
    <w:rsid w:val="005037C5"/>
    <w:rsid w:val="00505F81"/>
    <w:rsid w:val="00506843"/>
    <w:rsid w:val="00516F55"/>
    <w:rsid w:val="00521596"/>
    <w:rsid w:val="005255FD"/>
    <w:rsid w:val="00527B55"/>
    <w:rsid w:val="00530B69"/>
    <w:rsid w:val="00530C1F"/>
    <w:rsid w:val="00532AD0"/>
    <w:rsid w:val="00537294"/>
    <w:rsid w:val="005408E5"/>
    <w:rsid w:val="00540FB8"/>
    <w:rsid w:val="005425CA"/>
    <w:rsid w:val="00552A9F"/>
    <w:rsid w:val="00553EC7"/>
    <w:rsid w:val="00562AC3"/>
    <w:rsid w:val="00562C5D"/>
    <w:rsid w:val="005703C0"/>
    <w:rsid w:val="00585886"/>
    <w:rsid w:val="00585B5C"/>
    <w:rsid w:val="0058756A"/>
    <w:rsid w:val="00595A70"/>
    <w:rsid w:val="005A61F5"/>
    <w:rsid w:val="005A67A7"/>
    <w:rsid w:val="005A6FB7"/>
    <w:rsid w:val="005B08AA"/>
    <w:rsid w:val="005B0B92"/>
    <w:rsid w:val="005B1A8D"/>
    <w:rsid w:val="005B5395"/>
    <w:rsid w:val="005B7325"/>
    <w:rsid w:val="005C1C36"/>
    <w:rsid w:val="005C437A"/>
    <w:rsid w:val="005C5BEC"/>
    <w:rsid w:val="005D0320"/>
    <w:rsid w:val="005D0FBF"/>
    <w:rsid w:val="005D4CBA"/>
    <w:rsid w:val="005D57B8"/>
    <w:rsid w:val="005E15D7"/>
    <w:rsid w:val="005E175F"/>
    <w:rsid w:val="005E71AF"/>
    <w:rsid w:val="00606949"/>
    <w:rsid w:val="00607132"/>
    <w:rsid w:val="00610487"/>
    <w:rsid w:val="00614834"/>
    <w:rsid w:val="00623906"/>
    <w:rsid w:val="00625A9E"/>
    <w:rsid w:val="00627510"/>
    <w:rsid w:val="00631C40"/>
    <w:rsid w:val="006333AE"/>
    <w:rsid w:val="00641C19"/>
    <w:rsid w:val="00650927"/>
    <w:rsid w:val="00657158"/>
    <w:rsid w:val="00662A8E"/>
    <w:rsid w:val="00665750"/>
    <w:rsid w:val="00666D5A"/>
    <w:rsid w:val="00677910"/>
    <w:rsid w:val="00682BB8"/>
    <w:rsid w:val="00687ED2"/>
    <w:rsid w:val="006962F1"/>
    <w:rsid w:val="00696F5C"/>
    <w:rsid w:val="006A1014"/>
    <w:rsid w:val="006A5E36"/>
    <w:rsid w:val="006A6163"/>
    <w:rsid w:val="006A7EDE"/>
    <w:rsid w:val="006B154F"/>
    <w:rsid w:val="006B19C2"/>
    <w:rsid w:val="006B6003"/>
    <w:rsid w:val="006B6127"/>
    <w:rsid w:val="006C0783"/>
    <w:rsid w:val="006C48F7"/>
    <w:rsid w:val="006D181F"/>
    <w:rsid w:val="006D469D"/>
    <w:rsid w:val="006D62C5"/>
    <w:rsid w:val="006E0E54"/>
    <w:rsid w:val="006E1E55"/>
    <w:rsid w:val="006E3F84"/>
    <w:rsid w:val="006E5ED5"/>
    <w:rsid w:val="006F2C75"/>
    <w:rsid w:val="006F66B2"/>
    <w:rsid w:val="007158EE"/>
    <w:rsid w:val="00715ED4"/>
    <w:rsid w:val="00720D1B"/>
    <w:rsid w:val="00736E14"/>
    <w:rsid w:val="00744764"/>
    <w:rsid w:val="00751E6F"/>
    <w:rsid w:val="007525CB"/>
    <w:rsid w:val="00752A2E"/>
    <w:rsid w:val="007562D5"/>
    <w:rsid w:val="00757E7C"/>
    <w:rsid w:val="007607FC"/>
    <w:rsid w:val="00766568"/>
    <w:rsid w:val="00767CEE"/>
    <w:rsid w:val="00771E3D"/>
    <w:rsid w:val="007736D1"/>
    <w:rsid w:val="007753BB"/>
    <w:rsid w:val="007766D2"/>
    <w:rsid w:val="00776B1D"/>
    <w:rsid w:val="00782105"/>
    <w:rsid w:val="00783744"/>
    <w:rsid w:val="00787385"/>
    <w:rsid w:val="00787CCC"/>
    <w:rsid w:val="0079023B"/>
    <w:rsid w:val="00792766"/>
    <w:rsid w:val="007A082F"/>
    <w:rsid w:val="007A7C80"/>
    <w:rsid w:val="007B2452"/>
    <w:rsid w:val="007B429F"/>
    <w:rsid w:val="007B6ED5"/>
    <w:rsid w:val="007B7301"/>
    <w:rsid w:val="007C0A03"/>
    <w:rsid w:val="007C159F"/>
    <w:rsid w:val="007C1964"/>
    <w:rsid w:val="007C22EA"/>
    <w:rsid w:val="007C24FC"/>
    <w:rsid w:val="007C3D7B"/>
    <w:rsid w:val="007C5674"/>
    <w:rsid w:val="007C627B"/>
    <w:rsid w:val="007C6DF1"/>
    <w:rsid w:val="007D1744"/>
    <w:rsid w:val="007D37DF"/>
    <w:rsid w:val="007D6ABA"/>
    <w:rsid w:val="007E038B"/>
    <w:rsid w:val="007E3A51"/>
    <w:rsid w:val="007E5306"/>
    <w:rsid w:val="007E7068"/>
    <w:rsid w:val="007E7F08"/>
    <w:rsid w:val="007F0478"/>
    <w:rsid w:val="007F12E6"/>
    <w:rsid w:val="007F4318"/>
    <w:rsid w:val="007F5816"/>
    <w:rsid w:val="007F7790"/>
    <w:rsid w:val="0080428D"/>
    <w:rsid w:val="00813985"/>
    <w:rsid w:val="00817C93"/>
    <w:rsid w:val="008219A6"/>
    <w:rsid w:val="00825F3B"/>
    <w:rsid w:val="0083096F"/>
    <w:rsid w:val="00831FB9"/>
    <w:rsid w:val="00837498"/>
    <w:rsid w:val="0084641F"/>
    <w:rsid w:val="00846510"/>
    <w:rsid w:val="00846E84"/>
    <w:rsid w:val="0085066B"/>
    <w:rsid w:val="008506BD"/>
    <w:rsid w:val="00852739"/>
    <w:rsid w:val="00852970"/>
    <w:rsid w:val="00855360"/>
    <w:rsid w:val="00855EBC"/>
    <w:rsid w:val="0085629F"/>
    <w:rsid w:val="0086261D"/>
    <w:rsid w:val="00870146"/>
    <w:rsid w:val="008716F9"/>
    <w:rsid w:val="008774F7"/>
    <w:rsid w:val="00877AFF"/>
    <w:rsid w:val="00883AE4"/>
    <w:rsid w:val="00893D9C"/>
    <w:rsid w:val="00897D1E"/>
    <w:rsid w:val="008A523E"/>
    <w:rsid w:val="008B5C95"/>
    <w:rsid w:val="008D2577"/>
    <w:rsid w:val="008D4240"/>
    <w:rsid w:val="008E2001"/>
    <w:rsid w:val="008E46D5"/>
    <w:rsid w:val="008F3C8B"/>
    <w:rsid w:val="008F3E40"/>
    <w:rsid w:val="008F7A8A"/>
    <w:rsid w:val="0090243A"/>
    <w:rsid w:val="00902BAF"/>
    <w:rsid w:val="00907846"/>
    <w:rsid w:val="00913A56"/>
    <w:rsid w:val="00914021"/>
    <w:rsid w:val="0091521A"/>
    <w:rsid w:val="00916CD0"/>
    <w:rsid w:val="00921425"/>
    <w:rsid w:val="00921B35"/>
    <w:rsid w:val="00924761"/>
    <w:rsid w:val="0092494B"/>
    <w:rsid w:val="009307A9"/>
    <w:rsid w:val="00931B27"/>
    <w:rsid w:val="00935F3A"/>
    <w:rsid w:val="00935FDA"/>
    <w:rsid w:val="00936902"/>
    <w:rsid w:val="00951F1B"/>
    <w:rsid w:val="00953D7D"/>
    <w:rsid w:val="009568CD"/>
    <w:rsid w:val="009635D5"/>
    <w:rsid w:val="009662AD"/>
    <w:rsid w:val="00967882"/>
    <w:rsid w:val="009728BD"/>
    <w:rsid w:val="00981FDA"/>
    <w:rsid w:val="009829C7"/>
    <w:rsid w:val="0099291C"/>
    <w:rsid w:val="009A0189"/>
    <w:rsid w:val="009A6C52"/>
    <w:rsid w:val="009B30EF"/>
    <w:rsid w:val="009C0986"/>
    <w:rsid w:val="009C1BAE"/>
    <w:rsid w:val="009C5C9C"/>
    <w:rsid w:val="009D02B0"/>
    <w:rsid w:val="009D2F20"/>
    <w:rsid w:val="009D7854"/>
    <w:rsid w:val="009D7FA4"/>
    <w:rsid w:val="009E0625"/>
    <w:rsid w:val="009E5A41"/>
    <w:rsid w:val="009F0120"/>
    <w:rsid w:val="009F1FFD"/>
    <w:rsid w:val="009F7B9E"/>
    <w:rsid w:val="00A046CD"/>
    <w:rsid w:val="00A06790"/>
    <w:rsid w:val="00A11FC0"/>
    <w:rsid w:val="00A14D50"/>
    <w:rsid w:val="00A17210"/>
    <w:rsid w:val="00A173E1"/>
    <w:rsid w:val="00A2021F"/>
    <w:rsid w:val="00A227C6"/>
    <w:rsid w:val="00A27A94"/>
    <w:rsid w:val="00A35B13"/>
    <w:rsid w:val="00A4745B"/>
    <w:rsid w:val="00A50F6F"/>
    <w:rsid w:val="00A5171D"/>
    <w:rsid w:val="00A55137"/>
    <w:rsid w:val="00A56CF6"/>
    <w:rsid w:val="00A61521"/>
    <w:rsid w:val="00A61E5C"/>
    <w:rsid w:val="00A62A2A"/>
    <w:rsid w:val="00A64465"/>
    <w:rsid w:val="00A663FA"/>
    <w:rsid w:val="00A711AA"/>
    <w:rsid w:val="00A73066"/>
    <w:rsid w:val="00A75382"/>
    <w:rsid w:val="00A75527"/>
    <w:rsid w:val="00A80031"/>
    <w:rsid w:val="00A81E2B"/>
    <w:rsid w:val="00A81F6B"/>
    <w:rsid w:val="00A823F0"/>
    <w:rsid w:val="00A8412A"/>
    <w:rsid w:val="00A84679"/>
    <w:rsid w:val="00A91F9E"/>
    <w:rsid w:val="00AA1A06"/>
    <w:rsid w:val="00AA65A2"/>
    <w:rsid w:val="00AA7E82"/>
    <w:rsid w:val="00AB6430"/>
    <w:rsid w:val="00AB7CAE"/>
    <w:rsid w:val="00AD6B70"/>
    <w:rsid w:val="00AE5455"/>
    <w:rsid w:val="00AE7030"/>
    <w:rsid w:val="00AE7C17"/>
    <w:rsid w:val="00AF2B69"/>
    <w:rsid w:val="00AF3DE1"/>
    <w:rsid w:val="00B04DC6"/>
    <w:rsid w:val="00B12C88"/>
    <w:rsid w:val="00B15399"/>
    <w:rsid w:val="00B16761"/>
    <w:rsid w:val="00B168CF"/>
    <w:rsid w:val="00B30E8A"/>
    <w:rsid w:val="00B32A24"/>
    <w:rsid w:val="00B37A91"/>
    <w:rsid w:val="00B40285"/>
    <w:rsid w:val="00B47E3A"/>
    <w:rsid w:val="00B53F03"/>
    <w:rsid w:val="00B6141B"/>
    <w:rsid w:val="00B617B6"/>
    <w:rsid w:val="00B61CE5"/>
    <w:rsid w:val="00B66711"/>
    <w:rsid w:val="00B66F7D"/>
    <w:rsid w:val="00B6717A"/>
    <w:rsid w:val="00B67B8C"/>
    <w:rsid w:val="00B67E78"/>
    <w:rsid w:val="00B73006"/>
    <w:rsid w:val="00B73D08"/>
    <w:rsid w:val="00B85BB9"/>
    <w:rsid w:val="00B93EC6"/>
    <w:rsid w:val="00B95C88"/>
    <w:rsid w:val="00B97483"/>
    <w:rsid w:val="00BA1A3B"/>
    <w:rsid w:val="00BA31E5"/>
    <w:rsid w:val="00BA5A93"/>
    <w:rsid w:val="00BA67D1"/>
    <w:rsid w:val="00BB5DE1"/>
    <w:rsid w:val="00BC1538"/>
    <w:rsid w:val="00BC2C52"/>
    <w:rsid w:val="00BC2E08"/>
    <w:rsid w:val="00BD034A"/>
    <w:rsid w:val="00BD06A9"/>
    <w:rsid w:val="00BD451A"/>
    <w:rsid w:val="00BE0678"/>
    <w:rsid w:val="00BE06DB"/>
    <w:rsid w:val="00BE3961"/>
    <w:rsid w:val="00BE459B"/>
    <w:rsid w:val="00BE6727"/>
    <w:rsid w:val="00BF05BF"/>
    <w:rsid w:val="00BF4317"/>
    <w:rsid w:val="00BF4E0A"/>
    <w:rsid w:val="00BF705C"/>
    <w:rsid w:val="00C1066B"/>
    <w:rsid w:val="00C13649"/>
    <w:rsid w:val="00C21E35"/>
    <w:rsid w:val="00C24DAA"/>
    <w:rsid w:val="00C30592"/>
    <w:rsid w:val="00C33E69"/>
    <w:rsid w:val="00C341D6"/>
    <w:rsid w:val="00C37D36"/>
    <w:rsid w:val="00C40C7B"/>
    <w:rsid w:val="00C43D72"/>
    <w:rsid w:val="00C4401E"/>
    <w:rsid w:val="00C46411"/>
    <w:rsid w:val="00C46E03"/>
    <w:rsid w:val="00C62D72"/>
    <w:rsid w:val="00C642F7"/>
    <w:rsid w:val="00C72AB4"/>
    <w:rsid w:val="00C842A0"/>
    <w:rsid w:val="00C925D2"/>
    <w:rsid w:val="00C93238"/>
    <w:rsid w:val="00C95A6D"/>
    <w:rsid w:val="00CA3271"/>
    <w:rsid w:val="00CA5309"/>
    <w:rsid w:val="00CB323D"/>
    <w:rsid w:val="00CB5C0F"/>
    <w:rsid w:val="00CB5E20"/>
    <w:rsid w:val="00CC4123"/>
    <w:rsid w:val="00CD7A79"/>
    <w:rsid w:val="00CD7E6E"/>
    <w:rsid w:val="00CE2162"/>
    <w:rsid w:val="00CE508F"/>
    <w:rsid w:val="00CE5272"/>
    <w:rsid w:val="00CE5CEB"/>
    <w:rsid w:val="00CF2F21"/>
    <w:rsid w:val="00CF48F3"/>
    <w:rsid w:val="00CF5511"/>
    <w:rsid w:val="00D012C7"/>
    <w:rsid w:val="00D114DE"/>
    <w:rsid w:val="00D25946"/>
    <w:rsid w:val="00D32DE4"/>
    <w:rsid w:val="00D40B1E"/>
    <w:rsid w:val="00D41756"/>
    <w:rsid w:val="00D41A7A"/>
    <w:rsid w:val="00D500B1"/>
    <w:rsid w:val="00D54C8E"/>
    <w:rsid w:val="00D565AE"/>
    <w:rsid w:val="00D60773"/>
    <w:rsid w:val="00D61F1A"/>
    <w:rsid w:val="00D662D2"/>
    <w:rsid w:val="00D668B9"/>
    <w:rsid w:val="00D7003D"/>
    <w:rsid w:val="00D833A1"/>
    <w:rsid w:val="00D85424"/>
    <w:rsid w:val="00D86B3B"/>
    <w:rsid w:val="00D87CBB"/>
    <w:rsid w:val="00D91610"/>
    <w:rsid w:val="00D935A8"/>
    <w:rsid w:val="00DA2916"/>
    <w:rsid w:val="00DA490B"/>
    <w:rsid w:val="00DB066E"/>
    <w:rsid w:val="00DC64CE"/>
    <w:rsid w:val="00DC6F6B"/>
    <w:rsid w:val="00DD2DBA"/>
    <w:rsid w:val="00DD6EFE"/>
    <w:rsid w:val="00DE5727"/>
    <w:rsid w:val="00DE6C8D"/>
    <w:rsid w:val="00DE6DE8"/>
    <w:rsid w:val="00DF24A9"/>
    <w:rsid w:val="00DF405C"/>
    <w:rsid w:val="00DF5F13"/>
    <w:rsid w:val="00DF7934"/>
    <w:rsid w:val="00E03DAA"/>
    <w:rsid w:val="00E1125F"/>
    <w:rsid w:val="00E16FD1"/>
    <w:rsid w:val="00E20422"/>
    <w:rsid w:val="00E24A51"/>
    <w:rsid w:val="00E3314E"/>
    <w:rsid w:val="00E35B32"/>
    <w:rsid w:val="00E36C62"/>
    <w:rsid w:val="00E36DBF"/>
    <w:rsid w:val="00E376D7"/>
    <w:rsid w:val="00E423B6"/>
    <w:rsid w:val="00E44FA9"/>
    <w:rsid w:val="00E46B3E"/>
    <w:rsid w:val="00E47BFD"/>
    <w:rsid w:val="00E53ED0"/>
    <w:rsid w:val="00E56C86"/>
    <w:rsid w:val="00E75903"/>
    <w:rsid w:val="00E83C02"/>
    <w:rsid w:val="00E91897"/>
    <w:rsid w:val="00EA1ABD"/>
    <w:rsid w:val="00EA37E1"/>
    <w:rsid w:val="00EA3A43"/>
    <w:rsid w:val="00EA63EB"/>
    <w:rsid w:val="00EB1D73"/>
    <w:rsid w:val="00EB4A41"/>
    <w:rsid w:val="00EB4B74"/>
    <w:rsid w:val="00EB5FFA"/>
    <w:rsid w:val="00EB6637"/>
    <w:rsid w:val="00EC58EF"/>
    <w:rsid w:val="00EC7154"/>
    <w:rsid w:val="00ED7374"/>
    <w:rsid w:val="00ED7F5C"/>
    <w:rsid w:val="00EF4C30"/>
    <w:rsid w:val="00EF6670"/>
    <w:rsid w:val="00F07064"/>
    <w:rsid w:val="00F118F0"/>
    <w:rsid w:val="00F2126B"/>
    <w:rsid w:val="00F219C9"/>
    <w:rsid w:val="00F336A1"/>
    <w:rsid w:val="00F35F31"/>
    <w:rsid w:val="00F36D98"/>
    <w:rsid w:val="00F45DC4"/>
    <w:rsid w:val="00F50692"/>
    <w:rsid w:val="00F51103"/>
    <w:rsid w:val="00F51BD9"/>
    <w:rsid w:val="00F54D50"/>
    <w:rsid w:val="00F57969"/>
    <w:rsid w:val="00F625AA"/>
    <w:rsid w:val="00F63637"/>
    <w:rsid w:val="00F63F6D"/>
    <w:rsid w:val="00F673CF"/>
    <w:rsid w:val="00F70E21"/>
    <w:rsid w:val="00F716A4"/>
    <w:rsid w:val="00F80BF6"/>
    <w:rsid w:val="00F87F02"/>
    <w:rsid w:val="00F93724"/>
    <w:rsid w:val="00F96093"/>
    <w:rsid w:val="00F96626"/>
    <w:rsid w:val="00FA3B65"/>
    <w:rsid w:val="00FA7BDB"/>
    <w:rsid w:val="00FB5713"/>
    <w:rsid w:val="00FC24C0"/>
    <w:rsid w:val="00FC5255"/>
    <w:rsid w:val="00FD05DB"/>
    <w:rsid w:val="00FD1282"/>
    <w:rsid w:val="00FD7543"/>
    <w:rsid w:val="00FE1EFE"/>
    <w:rsid w:val="00FE2223"/>
    <w:rsid w:val="00FF0305"/>
    <w:rsid w:val="00FF3ABC"/>
    <w:rsid w:val="02077D5E"/>
    <w:rsid w:val="02286735"/>
    <w:rsid w:val="02761E94"/>
    <w:rsid w:val="0355175E"/>
    <w:rsid w:val="04801AC2"/>
    <w:rsid w:val="04EC7DA0"/>
    <w:rsid w:val="054B264C"/>
    <w:rsid w:val="05760007"/>
    <w:rsid w:val="06046AB5"/>
    <w:rsid w:val="06467E7F"/>
    <w:rsid w:val="067D5676"/>
    <w:rsid w:val="06FD2612"/>
    <w:rsid w:val="07404494"/>
    <w:rsid w:val="0916609E"/>
    <w:rsid w:val="0A7D466F"/>
    <w:rsid w:val="0C9E1A0C"/>
    <w:rsid w:val="0CA508AB"/>
    <w:rsid w:val="0DAF2C53"/>
    <w:rsid w:val="0DC971F6"/>
    <w:rsid w:val="0DF90E7F"/>
    <w:rsid w:val="0EF353B3"/>
    <w:rsid w:val="0FDD2425"/>
    <w:rsid w:val="110561C1"/>
    <w:rsid w:val="11580110"/>
    <w:rsid w:val="11FC6B9B"/>
    <w:rsid w:val="1390507D"/>
    <w:rsid w:val="13F91B32"/>
    <w:rsid w:val="143313B9"/>
    <w:rsid w:val="14BA07FC"/>
    <w:rsid w:val="158838A0"/>
    <w:rsid w:val="16684128"/>
    <w:rsid w:val="16E33B7A"/>
    <w:rsid w:val="18BF3D76"/>
    <w:rsid w:val="1928405C"/>
    <w:rsid w:val="1A1245F4"/>
    <w:rsid w:val="1ADC7E21"/>
    <w:rsid w:val="1B04602E"/>
    <w:rsid w:val="1BA55988"/>
    <w:rsid w:val="1C792B72"/>
    <w:rsid w:val="1C8A764C"/>
    <w:rsid w:val="1CA2432C"/>
    <w:rsid w:val="1D030D38"/>
    <w:rsid w:val="1DFB0AB9"/>
    <w:rsid w:val="1EA03504"/>
    <w:rsid w:val="1F14184F"/>
    <w:rsid w:val="20527406"/>
    <w:rsid w:val="21647E02"/>
    <w:rsid w:val="21963B04"/>
    <w:rsid w:val="21CE5FDF"/>
    <w:rsid w:val="21CF7A7B"/>
    <w:rsid w:val="22333B3F"/>
    <w:rsid w:val="229D7455"/>
    <w:rsid w:val="235B353A"/>
    <w:rsid w:val="2371736A"/>
    <w:rsid w:val="24D471BD"/>
    <w:rsid w:val="24E75353"/>
    <w:rsid w:val="24ED19BE"/>
    <w:rsid w:val="25141255"/>
    <w:rsid w:val="255C6290"/>
    <w:rsid w:val="26680F2E"/>
    <w:rsid w:val="27AB606F"/>
    <w:rsid w:val="27EB0D73"/>
    <w:rsid w:val="2842753C"/>
    <w:rsid w:val="28DA3791"/>
    <w:rsid w:val="291A7ABD"/>
    <w:rsid w:val="29E625DD"/>
    <w:rsid w:val="2A7C3B60"/>
    <w:rsid w:val="2AA13D8B"/>
    <w:rsid w:val="2B5D3342"/>
    <w:rsid w:val="2B90504B"/>
    <w:rsid w:val="2D292A2B"/>
    <w:rsid w:val="2DE00064"/>
    <w:rsid w:val="2F5F5450"/>
    <w:rsid w:val="319A0A3A"/>
    <w:rsid w:val="322054AD"/>
    <w:rsid w:val="32602A98"/>
    <w:rsid w:val="32C22C7F"/>
    <w:rsid w:val="33AA13AE"/>
    <w:rsid w:val="34195175"/>
    <w:rsid w:val="346F26EC"/>
    <w:rsid w:val="34CD5C0B"/>
    <w:rsid w:val="35582AB8"/>
    <w:rsid w:val="361F73D1"/>
    <w:rsid w:val="3655683C"/>
    <w:rsid w:val="36C40CB4"/>
    <w:rsid w:val="372D5A42"/>
    <w:rsid w:val="37AE19BF"/>
    <w:rsid w:val="38E26097"/>
    <w:rsid w:val="3965273F"/>
    <w:rsid w:val="3A1F02C4"/>
    <w:rsid w:val="3A635CA5"/>
    <w:rsid w:val="3AC55B83"/>
    <w:rsid w:val="3C5E0C0F"/>
    <w:rsid w:val="3CE14E64"/>
    <w:rsid w:val="3D2A665C"/>
    <w:rsid w:val="3D32081B"/>
    <w:rsid w:val="3E02023C"/>
    <w:rsid w:val="3E0338DD"/>
    <w:rsid w:val="3E2610AF"/>
    <w:rsid w:val="4002396F"/>
    <w:rsid w:val="40C65820"/>
    <w:rsid w:val="412528E4"/>
    <w:rsid w:val="420344B6"/>
    <w:rsid w:val="42C75B95"/>
    <w:rsid w:val="43922723"/>
    <w:rsid w:val="444B6A2D"/>
    <w:rsid w:val="44AE4B3B"/>
    <w:rsid w:val="45127F27"/>
    <w:rsid w:val="45B40BA9"/>
    <w:rsid w:val="466F1884"/>
    <w:rsid w:val="47426ADC"/>
    <w:rsid w:val="475A6521"/>
    <w:rsid w:val="49E91044"/>
    <w:rsid w:val="4A4D406D"/>
    <w:rsid w:val="4A940036"/>
    <w:rsid w:val="4AD87DB8"/>
    <w:rsid w:val="4DC03801"/>
    <w:rsid w:val="4EF27F50"/>
    <w:rsid w:val="4F4B339B"/>
    <w:rsid w:val="4F881C94"/>
    <w:rsid w:val="508676F4"/>
    <w:rsid w:val="516814C5"/>
    <w:rsid w:val="53345411"/>
    <w:rsid w:val="548515A4"/>
    <w:rsid w:val="54875699"/>
    <w:rsid w:val="54BC439B"/>
    <w:rsid w:val="55BE2817"/>
    <w:rsid w:val="55D97B68"/>
    <w:rsid w:val="565B2DA2"/>
    <w:rsid w:val="57C34E5D"/>
    <w:rsid w:val="584E00CC"/>
    <w:rsid w:val="58704E78"/>
    <w:rsid w:val="58B11391"/>
    <w:rsid w:val="58C1409B"/>
    <w:rsid w:val="59435868"/>
    <w:rsid w:val="5BFB49C4"/>
    <w:rsid w:val="5E6C3E33"/>
    <w:rsid w:val="5E8E394B"/>
    <w:rsid w:val="5F54651A"/>
    <w:rsid w:val="604A198A"/>
    <w:rsid w:val="60866B2B"/>
    <w:rsid w:val="61713D83"/>
    <w:rsid w:val="62C60EDA"/>
    <w:rsid w:val="62E416EB"/>
    <w:rsid w:val="63B14BE8"/>
    <w:rsid w:val="64094AC2"/>
    <w:rsid w:val="641A699F"/>
    <w:rsid w:val="64204C3A"/>
    <w:rsid w:val="6448100F"/>
    <w:rsid w:val="64AF1D98"/>
    <w:rsid w:val="64D26712"/>
    <w:rsid w:val="652F3B88"/>
    <w:rsid w:val="6611024C"/>
    <w:rsid w:val="68203A98"/>
    <w:rsid w:val="6A7A730A"/>
    <w:rsid w:val="6E241C82"/>
    <w:rsid w:val="6EEE4C14"/>
    <w:rsid w:val="70F35E25"/>
    <w:rsid w:val="71E06DC6"/>
    <w:rsid w:val="72994538"/>
    <w:rsid w:val="72AC556C"/>
    <w:rsid w:val="73145423"/>
    <w:rsid w:val="74104CE7"/>
    <w:rsid w:val="74244F1D"/>
    <w:rsid w:val="77E971E0"/>
    <w:rsid w:val="79B055F2"/>
    <w:rsid w:val="7A4913E7"/>
    <w:rsid w:val="7C2918F3"/>
    <w:rsid w:val="7C810DB1"/>
    <w:rsid w:val="7C8A4519"/>
    <w:rsid w:val="7CC446AD"/>
    <w:rsid w:val="7D804823"/>
    <w:rsid w:val="7E631E29"/>
    <w:rsid w:val="7F9220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4"/>
    <w:qFormat/>
    <w:uiPriority w:val="0"/>
    <w:pPr>
      <w:keepNext/>
      <w:keepLines/>
      <w:spacing w:before="120" w:after="120" w:line="360" w:lineRule="auto"/>
    </w:pPr>
    <w:rPr>
      <w:rFonts w:cs="Times New Roman"/>
      <w:kern w:val="44"/>
      <w:sz w:val="36"/>
      <w:szCs w:val="36"/>
    </w:rPr>
  </w:style>
  <w:style w:type="paragraph" w:styleId="6">
    <w:name w:val="heading 2"/>
    <w:basedOn w:val="1"/>
    <w:next w:val="1"/>
    <w:link w:val="45"/>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qFormat/>
    <w:uiPriority w:val="0"/>
    <w:pPr>
      <w:keepNext/>
      <w:keepLines/>
      <w:spacing w:before="260" w:after="260" w:line="416" w:lineRule="auto"/>
      <w:outlineLvl w:val="2"/>
    </w:pPr>
    <w:rPr>
      <w:b/>
      <w:bCs/>
      <w:sz w:val="32"/>
      <w:szCs w:val="32"/>
    </w:rPr>
  </w:style>
  <w:style w:type="paragraph" w:styleId="8">
    <w:name w:val="heading 4"/>
    <w:basedOn w:val="7"/>
    <w:next w:val="9"/>
    <w:qFormat/>
    <w:uiPriority w:val="0"/>
    <w:pPr>
      <w:numPr>
        <w:ilvl w:val="3"/>
        <w:numId w:val="1"/>
      </w:numPr>
      <w:spacing w:beforeLines="50" w:afterLines="50" w:line="360" w:lineRule="auto"/>
      <w:jc w:val="center"/>
      <w:outlineLvl w:val="3"/>
    </w:pPr>
    <w:rPr>
      <w:rFonts w:ascii="Arial" w:hAnsi="Arial"/>
      <w:b w:val="0"/>
      <w:bCs w:val="0"/>
      <w:color w:val="000000"/>
      <w:sz w:val="24"/>
      <w:szCs w:val="24"/>
    </w:rPr>
  </w:style>
  <w:style w:type="paragraph" w:styleId="10">
    <w:name w:val="heading 5"/>
    <w:basedOn w:val="8"/>
    <w:next w:val="9"/>
    <w:qFormat/>
    <w:uiPriority w:val="0"/>
    <w:pPr>
      <w:numPr>
        <w:ilvl w:val="4"/>
      </w:numPr>
      <w:spacing w:line="240" w:lineRule="exact"/>
      <w:outlineLvl w:val="4"/>
    </w:pPr>
  </w:style>
  <w:style w:type="paragraph" w:styleId="11">
    <w:name w:val="heading 7"/>
    <w:basedOn w:val="1"/>
    <w:next w:val="9"/>
    <w:qFormat/>
    <w:uiPriority w:val="0"/>
    <w:pPr>
      <w:keepNext/>
      <w:keepLines/>
      <w:numPr>
        <w:ilvl w:val="6"/>
        <w:numId w:val="1"/>
      </w:numPr>
      <w:spacing w:before="240" w:after="64" w:line="320" w:lineRule="auto"/>
      <w:outlineLvl w:val="6"/>
    </w:pPr>
    <w:rPr>
      <w:b/>
      <w:sz w:val="24"/>
    </w:rPr>
  </w:style>
  <w:style w:type="paragraph" w:styleId="12">
    <w:name w:val="heading 8"/>
    <w:basedOn w:val="1"/>
    <w:next w:val="9"/>
    <w:qFormat/>
    <w:uiPriority w:val="0"/>
    <w:pPr>
      <w:keepNext/>
      <w:keepLines/>
      <w:numPr>
        <w:ilvl w:val="7"/>
        <w:numId w:val="1"/>
      </w:numPr>
      <w:spacing w:before="240" w:after="64" w:line="320" w:lineRule="auto"/>
      <w:outlineLvl w:val="7"/>
    </w:pPr>
    <w:rPr>
      <w:rFonts w:ascii="Arial" w:hAnsi="Arial" w:eastAsia="黑体"/>
      <w:sz w:val="24"/>
    </w:rPr>
  </w:style>
  <w:style w:type="paragraph" w:styleId="13">
    <w:name w:val="heading 9"/>
    <w:basedOn w:val="1"/>
    <w:next w:val="9"/>
    <w:qFormat/>
    <w:uiPriority w:val="0"/>
    <w:pPr>
      <w:keepNext/>
      <w:keepLines/>
      <w:numPr>
        <w:ilvl w:val="8"/>
        <w:numId w:val="1"/>
      </w:numPr>
      <w:spacing w:before="240" w:after="64" w:line="320" w:lineRule="auto"/>
      <w:outlineLvl w:val="8"/>
    </w:pPr>
    <w:rPr>
      <w:rFonts w:ascii="Arial" w:hAnsi="Arial" w:eastAsia="黑体"/>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cs="Arial"/>
      <w:b/>
      <w:bCs/>
      <w:sz w:val="32"/>
      <w:szCs w:val="32"/>
    </w:rPr>
  </w:style>
  <w:style w:type="paragraph" w:styleId="4">
    <w:name w:val="Body Text First Indent"/>
    <w:basedOn w:val="5"/>
    <w:link w:val="40"/>
    <w:qFormat/>
    <w:uiPriority w:val="0"/>
    <w:pPr>
      <w:ind w:firstLine="420"/>
    </w:pPr>
  </w:style>
  <w:style w:type="paragraph" w:styleId="5">
    <w:name w:val="Body Text"/>
    <w:basedOn w:val="1"/>
    <w:link w:val="55"/>
    <w:qFormat/>
    <w:uiPriority w:val="0"/>
    <w:pPr>
      <w:spacing w:after="120"/>
    </w:pPr>
  </w:style>
  <w:style w:type="paragraph" w:styleId="9">
    <w:name w:val="Normal Indent"/>
    <w:basedOn w:val="1"/>
    <w:qFormat/>
    <w:uiPriority w:val="0"/>
    <w:pPr>
      <w:ind w:firstLine="420" w:firstLineChars="200"/>
    </w:pPr>
  </w:style>
  <w:style w:type="paragraph" w:styleId="14">
    <w:name w:val="annotation text"/>
    <w:basedOn w:val="1"/>
    <w:semiHidden/>
    <w:qFormat/>
    <w:uiPriority w:val="0"/>
    <w:pPr>
      <w:jc w:val="left"/>
    </w:pPr>
  </w:style>
  <w:style w:type="paragraph" w:styleId="15">
    <w:name w:val="Salutation"/>
    <w:basedOn w:val="1"/>
    <w:next w:val="1"/>
    <w:link w:val="54"/>
    <w:qFormat/>
    <w:uiPriority w:val="0"/>
    <w:rPr>
      <w:szCs w:val="24"/>
    </w:rPr>
  </w:style>
  <w:style w:type="paragraph" w:styleId="16">
    <w:name w:val="Body Text Indent"/>
    <w:basedOn w:val="1"/>
    <w:link w:val="39"/>
    <w:qFormat/>
    <w:uiPriority w:val="0"/>
    <w:pPr>
      <w:spacing w:after="120"/>
      <w:ind w:left="420" w:leftChars="200"/>
    </w:pPr>
  </w:style>
  <w:style w:type="paragraph" w:styleId="17">
    <w:name w:val="Plain Text"/>
    <w:basedOn w:val="1"/>
    <w:qFormat/>
    <w:uiPriority w:val="0"/>
    <w:rPr>
      <w:rFonts w:ascii="宋体" w:hAnsi="Courier New" w:cs="Courier New"/>
      <w:szCs w:val="21"/>
    </w:rPr>
  </w:style>
  <w:style w:type="paragraph" w:styleId="18">
    <w:name w:val="Date"/>
    <w:basedOn w:val="1"/>
    <w:next w:val="1"/>
    <w:qFormat/>
    <w:uiPriority w:val="0"/>
  </w:style>
  <w:style w:type="paragraph" w:styleId="19">
    <w:name w:val="Balloon Text"/>
    <w:basedOn w:val="1"/>
    <w:semiHidden/>
    <w:qFormat/>
    <w:uiPriority w:val="0"/>
    <w:rPr>
      <w:sz w:val="18"/>
      <w:szCs w:val="18"/>
    </w:rPr>
  </w:style>
  <w:style w:type="paragraph" w:styleId="20">
    <w:name w:val="footer"/>
    <w:basedOn w:val="1"/>
    <w:link w:val="37"/>
    <w:qFormat/>
    <w:uiPriority w:val="0"/>
    <w:pPr>
      <w:tabs>
        <w:tab w:val="center" w:pos="4153"/>
        <w:tab w:val="right" w:pos="8306"/>
      </w:tabs>
      <w:adjustRightInd w:val="0"/>
      <w:spacing w:line="240" w:lineRule="atLeast"/>
      <w:jc w:val="left"/>
      <w:textAlignment w:val="baseline"/>
    </w:pPr>
    <w:rPr>
      <w:rFonts w:eastAsia="长城仿宋"/>
      <w:kern w:val="0"/>
      <w:sz w:val="18"/>
    </w:rPr>
  </w:style>
  <w:style w:type="paragraph" w:styleId="21">
    <w:name w:val="header"/>
    <w:basedOn w:val="1"/>
    <w:link w:val="42"/>
    <w:qFormat/>
    <w:uiPriority w:val="99"/>
    <w:pPr>
      <w:pBdr>
        <w:bottom w:val="single" w:color="auto" w:sz="6" w:space="1"/>
      </w:pBdr>
      <w:tabs>
        <w:tab w:val="center" w:pos="4153"/>
        <w:tab w:val="right" w:pos="8306"/>
      </w:tabs>
      <w:snapToGrid w:val="0"/>
      <w:jc w:val="center"/>
    </w:pPr>
    <w:rPr>
      <w:sz w:val="18"/>
      <w:szCs w:val="18"/>
    </w:rPr>
  </w:style>
  <w:style w:type="paragraph" w:styleId="22">
    <w:name w:val="Normal (Web)"/>
    <w:basedOn w:val="1"/>
    <w:link w:val="44"/>
    <w:qFormat/>
    <w:uiPriority w:val="0"/>
    <w:pPr>
      <w:widowControl/>
      <w:spacing w:before="100" w:beforeAutospacing="1" w:after="100" w:afterAutospacing="1"/>
      <w:jc w:val="left"/>
    </w:pPr>
    <w:rPr>
      <w:rFonts w:ascii="宋体" w:hAnsi="宋体"/>
      <w:kern w:val="0"/>
      <w:sz w:val="24"/>
      <w:szCs w:val="24"/>
    </w:rPr>
  </w:style>
  <w:style w:type="paragraph" w:styleId="23">
    <w:name w:val="annotation subject"/>
    <w:basedOn w:val="14"/>
    <w:next w:val="14"/>
    <w:semiHidden/>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26">
    <w:name w:val="Table Theme"/>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8">
    <w:name w:val="Strong"/>
    <w:qFormat/>
    <w:uiPriority w:val="0"/>
    <w:rPr>
      <w:b/>
      <w:bCs/>
    </w:rPr>
  </w:style>
  <w:style w:type="character" w:styleId="29">
    <w:name w:val="page number"/>
    <w:basedOn w:val="27"/>
    <w:qFormat/>
    <w:uiPriority w:val="0"/>
  </w:style>
  <w:style w:type="character" w:styleId="30">
    <w:name w:val="Emphasis"/>
    <w:basedOn w:val="27"/>
    <w:qFormat/>
    <w:uiPriority w:val="20"/>
    <w:rPr>
      <w:color w:val="CC0000"/>
    </w:rPr>
  </w:style>
  <w:style w:type="character" w:styleId="31">
    <w:name w:val="Hyperlink"/>
    <w:basedOn w:val="27"/>
    <w:qFormat/>
    <w:uiPriority w:val="0"/>
    <w:rPr>
      <w:color w:val="0000FF" w:themeColor="hyperlink"/>
      <w:u w:val="single"/>
    </w:rPr>
  </w:style>
  <w:style w:type="character" w:styleId="32">
    <w:name w:val="annotation reference"/>
    <w:semiHidden/>
    <w:qFormat/>
    <w:uiPriority w:val="0"/>
    <w:rPr>
      <w:sz w:val="21"/>
      <w:szCs w:val="21"/>
    </w:rPr>
  </w:style>
  <w:style w:type="paragraph" w:customStyle="1" w:styleId="33">
    <w:name w:val="Char"/>
    <w:basedOn w:val="1"/>
    <w:qFormat/>
    <w:uiPriority w:val="0"/>
    <w:pPr>
      <w:adjustRightInd w:val="0"/>
      <w:snapToGrid w:val="0"/>
      <w:spacing w:line="360" w:lineRule="auto"/>
      <w:ind w:firstLine="200"/>
      <w:jc w:val="left"/>
    </w:pPr>
  </w:style>
  <w:style w:type="paragraph" w:customStyle="1" w:styleId="34">
    <w:name w:val="！正文（四号字）"/>
    <w:link w:val="38"/>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paragraph" w:customStyle="1" w:styleId="35">
    <w:name w:val="Char11"/>
    <w:basedOn w:val="1"/>
    <w:qFormat/>
    <w:uiPriority w:val="0"/>
  </w:style>
  <w:style w:type="paragraph" w:customStyle="1" w:styleId="36">
    <w:name w:val="Char1"/>
    <w:basedOn w:val="1"/>
    <w:qFormat/>
    <w:uiPriority w:val="0"/>
    <w:pPr>
      <w:ind w:left="567" w:hanging="279"/>
    </w:pPr>
    <w:rPr>
      <w:kern w:val="0"/>
      <w:szCs w:val="21"/>
    </w:rPr>
  </w:style>
  <w:style w:type="character" w:customStyle="1" w:styleId="37">
    <w:name w:val="页脚 Char"/>
    <w:link w:val="20"/>
    <w:qFormat/>
    <w:locked/>
    <w:uiPriority w:val="0"/>
    <w:rPr>
      <w:rFonts w:eastAsia="长城仿宋"/>
      <w:sz w:val="18"/>
      <w:lang w:val="en-US" w:eastAsia="zh-CN" w:bidi="ar-SA"/>
    </w:rPr>
  </w:style>
  <w:style w:type="character" w:customStyle="1" w:styleId="38">
    <w:name w:val="！正文（四号字） Char"/>
    <w:link w:val="34"/>
    <w:qFormat/>
    <w:uiPriority w:val="0"/>
    <w:rPr>
      <w:kern w:val="2"/>
      <w:sz w:val="24"/>
      <w:szCs w:val="28"/>
      <w:lang w:val="en-US" w:eastAsia="zh-CN" w:bidi="ar-SA"/>
    </w:rPr>
  </w:style>
  <w:style w:type="character" w:customStyle="1" w:styleId="39">
    <w:name w:val="正文文本缩进 Char"/>
    <w:link w:val="16"/>
    <w:qFormat/>
    <w:uiPriority w:val="0"/>
    <w:rPr>
      <w:rFonts w:eastAsia="宋体"/>
      <w:kern w:val="2"/>
      <w:sz w:val="21"/>
      <w:lang w:val="en-US" w:eastAsia="zh-CN" w:bidi="ar-SA"/>
    </w:rPr>
  </w:style>
  <w:style w:type="character" w:customStyle="1" w:styleId="40">
    <w:name w:val="正文首行缩进 Char"/>
    <w:link w:val="4"/>
    <w:qFormat/>
    <w:uiPriority w:val="0"/>
    <w:rPr>
      <w:kern w:val="2"/>
      <w:sz w:val="21"/>
    </w:rPr>
  </w:style>
  <w:style w:type="paragraph" w:customStyle="1" w:styleId="41">
    <w:name w:val="Table Paragraph"/>
    <w:basedOn w:val="1"/>
    <w:qFormat/>
    <w:uiPriority w:val="1"/>
    <w:rPr>
      <w:rFonts w:ascii="Droid Sans Fallback" w:hAnsi="Droid Sans Fallback" w:eastAsia="Droid Sans Fallback" w:cs="Droid Sans Fallback"/>
    </w:rPr>
  </w:style>
  <w:style w:type="character" w:customStyle="1" w:styleId="42">
    <w:name w:val="页眉 Char"/>
    <w:link w:val="21"/>
    <w:qFormat/>
    <w:uiPriority w:val="99"/>
    <w:rPr>
      <w:kern w:val="2"/>
      <w:sz w:val="18"/>
      <w:szCs w:val="18"/>
    </w:rPr>
  </w:style>
  <w:style w:type="paragraph" w:customStyle="1" w:styleId="43">
    <w:name w:val="文一"/>
    <w:basedOn w:val="1"/>
    <w:qFormat/>
    <w:uiPriority w:val="0"/>
    <w:pPr>
      <w:widowControl/>
      <w:topLinePunct/>
      <w:adjustRightInd w:val="0"/>
      <w:snapToGrid w:val="0"/>
      <w:spacing w:after="200" w:line="360" w:lineRule="auto"/>
      <w:ind w:firstLine="200" w:firstLineChars="200"/>
      <w:jc w:val="left"/>
    </w:pPr>
    <w:rPr>
      <w:rFonts w:ascii="Cambria" w:hAnsi="Cambria"/>
      <w:snapToGrid w:val="0"/>
      <w:spacing w:val="4"/>
      <w:kern w:val="0"/>
      <w:sz w:val="24"/>
      <w:szCs w:val="22"/>
      <w:lang w:eastAsia="en-US" w:bidi="en-US"/>
    </w:rPr>
  </w:style>
  <w:style w:type="character" w:customStyle="1" w:styleId="44">
    <w:name w:val="普通(网站) Char"/>
    <w:basedOn w:val="27"/>
    <w:link w:val="22"/>
    <w:qFormat/>
    <w:locked/>
    <w:uiPriority w:val="0"/>
    <w:rPr>
      <w:rFonts w:ascii="宋体" w:hAnsi="宋体"/>
      <w:sz w:val="24"/>
      <w:szCs w:val="24"/>
    </w:rPr>
  </w:style>
  <w:style w:type="character" w:customStyle="1" w:styleId="45">
    <w:name w:val="标题 2 Char"/>
    <w:basedOn w:val="27"/>
    <w:link w:val="6"/>
    <w:semiHidden/>
    <w:qFormat/>
    <w:uiPriority w:val="0"/>
    <w:rPr>
      <w:rFonts w:asciiTheme="majorHAnsi" w:hAnsiTheme="majorHAnsi" w:eastAsiaTheme="majorEastAsia" w:cstheme="majorBidi"/>
      <w:b/>
      <w:bCs/>
      <w:kern w:val="2"/>
      <w:sz w:val="32"/>
      <w:szCs w:val="32"/>
    </w:rPr>
  </w:style>
  <w:style w:type="paragraph" w:customStyle="1" w:styleId="46">
    <w:name w:val="Char Char Char Char"/>
    <w:basedOn w:val="1"/>
    <w:qFormat/>
    <w:uiPriority w:val="0"/>
    <w:pPr>
      <w:adjustRightInd w:val="0"/>
      <w:spacing w:line="360" w:lineRule="auto"/>
    </w:pPr>
  </w:style>
  <w:style w:type="paragraph" w:styleId="47">
    <w:name w:val="List Paragraph"/>
    <w:basedOn w:val="1"/>
    <w:unhideWhenUsed/>
    <w:qFormat/>
    <w:uiPriority w:val="34"/>
    <w:pPr>
      <w:ind w:firstLine="420" w:firstLineChars="200"/>
    </w:pPr>
  </w:style>
  <w:style w:type="paragraph" w:customStyle="1" w:styleId="48">
    <w:name w:val="Char Char Char Char1"/>
    <w:basedOn w:val="1"/>
    <w:qFormat/>
    <w:uiPriority w:val="0"/>
    <w:rPr>
      <w:rFonts w:ascii="Tahoma" w:hAnsi="Tahoma"/>
      <w:sz w:val="24"/>
    </w:rPr>
  </w:style>
  <w:style w:type="paragraph" w:customStyle="1" w:styleId="49">
    <w:name w:val="Char Char Char Char2"/>
    <w:basedOn w:val="1"/>
    <w:qFormat/>
    <w:uiPriority w:val="0"/>
    <w:rPr>
      <w:rFonts w:ascii="Tahoma" w:hAnsi="Tahoma"/>
      <w:sz w:val="24"/>
    </w:rPr>
  </w:style>
  <w:style w:type="paragraph" w:customStyle="1" w:styleId="50">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51">
    <w:name w:val="Char2"/>
    <w:basedOn w:val="1"/>
    <w:qFormat/>
    <w:uiPriority w:val="0"/>
    <w:pPr>
      <w:adjustRightInd w:val="0"/>
      <w:snapToGrid w:val="0"/>
      <w:spacing w:line="360" w:lineRule="auto"/>
      <w:ind w:firstLine="200"/>
      <w:jc w:val="left"/>
    </w:pPr>
    <w:rPr>
      <w:rFonts w:ascii="Calibri" w:hAnsi="Calibri"/>
      <w:szCs w:val="24"/>
    </w:rPr>
  </w:style>
  <w:style w:type="paragraph" w:customStyle="1" w:styleId="52">
    <w:name w:val="样式3"/>
    <w:basedOn w:val="1"/>
    <w:link w:val="53"/>
    <w:qFormat/>
    <w:uiPriority w:val="0"/>
    <w:rPr>
      <w:rFonts w:ascii="Calibri" w:hAnsi="Calibri"/>
      <w:kern w:val="0"/>
      <w:sz w:val="24"/>
      <w:szCs w:val="24"/>
    </w:rPr>
  </w:style>
  <w:style w:type="character" w:customStyle="1" w:styleId="53">
    <w:name w:val="样式3 Char"/>
    <w:link w:val="52"/>
    <w:qFormat/>
    <w:locked/>
    <w:uiPriority w:val="0"/>
    <w:rPr>
      <w:sz w:val="24"/>
      <w:szCs w:val="24"/>
    </w:rPr>
  </w:style>
  <w:style w:type="character" w:customStyle="1" w:styleId="54">
    <w:name w:val="称呼 Char"/>
    <w:basedOn w:val="27"/>
    <w:link w:val="15"/>
    <w:qFormat/>
    <w:uiPriority w:val="0"/>
    <w:rPr>
      <w:rFonts w:ascii="Times New Roman" w:hAnsi="Times New Roman"/>
      <w:kern w:val="2"/>
      <w:sz w:val="21"/>
      <w:szCs w:val="24"/>
    </w:rPr>
  </w:style>
  <w:style w:type="character" w:customStyle="1" w:styleId="55">
    <w:name w:val="正文文本 Char"/>
    <w:link w:val="5"/>
    <w:qFormat/>
    <w:uiPriority w:val="0"/>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904D5C-1DC8-40D9-8CA6-07BDC314009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1237</Words>
  <Characters>7053</Characters>
  <Lines>58</Lines>
  <Paragraphs>16</Paragraphs>
  <TotalTime>2</TotalTime>
  <ScaleCrop>false</ScaleCrop>
  <LinksUpToDate>false</LinksUpToDate>
  <CharactersWithSpaces>8274</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2019-05-14T04:22:00Z</dcterms:created>
  <dc:creator>白云山化学药厂</dc:creator>
  <cp:lastModifiedBy>天空之熊</cp:lastModifiedBy>
  <cp:lastPrinted>2019-09-27T03:15:00Z</cp:lastPrinted>
  <dcterms:modified xsi:type="dcterms:W3CDTF">2019-09-30T06:21:24Z</dcterms:modified>
  <dc:title>监理招文</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